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522F8" w14:textId="56633AD7" w:rsidR="00227B20" w:rsidRDefault="000E4EDE" w:rsidP="00F5105E">
      <w:pPr>
        <w:pStyle w:val="TITLECAPS"/>
        <w:spacing w:after="0"/>
        <w:jc w:val="both"/>
        <w:rPr>
          <w:rFonts w:ascii="Times New Roman" w:hAnsi="Times New Roman"/>
          <w:sz w:val="20"/>
          <w:szCs w:val="20"/>
        </w:rPr>
      </w:pPr>
      <w:r w:rsidRPr="000E4EDE">
        <w:rPr>
          <w:rFonts w:ascii="Times New Roman" w:eastAsia="Times New Roman" w:hAnsi="Times New Roman"/>
          <w:bCs/>
          <w:color w:val="44546A"/>
          <w:sz w:val="20"/>
          <w:szCs w:val="20"/>
          <w:lang w:val="it-IT"/>
        </w:rPr>
        <w:t>Offerte di Primavera di Fluke</w:t>
      </w:r>
      <w:r>
        <w:rPr>
          <w:rFonts w:ascii="Times New Roman" w:eastAsia="Times New Roman" w:hAnsi="Times New Roman"/>
          <w:bCs/>
          <w:color w:val="44546A"/>
          <w:sz w:val="20"/>
          <w:szCs w:val="20"/>
          <w:lang w:val="it-IT"/>
        </w:rPr>
        <w:t xml:space="preserve">; </w:t>
      </w:r>
      <w:r w:rsidRPr="000E4EDE">
        <w:rPr>
          <w:rFonts w:ascii="Times New Roman" w:eastAsia="Times New Roman" w:hAnsi="Times New Roman"/>
          <w:bCs/>
          <w:color w:val="44546A"/>
          <w:sz w:val="20"/>
          <w:szCs w:val="20"/>
          <w:lang w:val="it-IT"/>
        </w:rPr>
        <w:t>Uno lo compri, uno lo ottienti gratis</w:t>
      </w:r>
      <w:r>
        <w:rPr>
          <w:rFonts w:ascii="Times New Roman" w:eastAsia="Times New Roman" w:hAnsi="Times New Roman"/>
          <w:bCs/>
          <w:color w:val="44546A"/>
          <w:sz w:val="20"/>
          <w:szCs w:val="20"/>
          <w:lang w:val="it-IT"/>
        </w:rPr>
        <w:t xml:space="preserve"> - 2025</w:t>
      </w:r>
      <w:r w:rsidR="00850854">
        <w:rPr>
          <w:rFonts w:ascii="Times New Roman" w:eastAsia="Times New Roman" w:hAnsi="Times New Roman"/>
          <w:bCs/>
          <w:color w:val="44546A"/>
          <w:sz w:val="20"/>
          <w:szCs w:val="20"/>
          <w:lang w:val="it-IT"/>
        </w:rPr>
        <w:t xml:space="preserve"> </w:t>
      </w:r>
    </w:p>
    <w:p w14:paraId="3619DD04" w14:textId="77777777" w:rsidR="00495496" w:rsidRPr="006E3C14" w:rsidRDefault="00495496" w:rsidP="00F23A2D">
      <w:pPr>
        <w:pStyle w:val="BodyText"/>
        <w:ind w:left="0"/>
        <w:rPr>
          <w:rFonts w:ascii="Times New Roman" w:hAnsi="Times New Roman"/>
          <w:sz w:val="20"/>
        </w:rPr>
      </w:pPr>
    </w:p>
    <w:p w14:paraId="1D151DE0" w14:textId="77777777" w:rsidR="00F23A2D" w:rsidRPr="006E3C14" w:rsidRDefault="00850854" w:rsidP="006E3C14">
      <w:pPr>
        <w:pStyle w:val="BodyText"/>
        <w:ind w:left="0"/>
        <w:rPr>
          <w:rFonts w:ascii="Times New Roman" w:hAnsi="Times New Roman"/>
          <w:b/>
          <w:color w:val="44546A" w:themeColor="text2"/>
          <w:sz w:val="20"/>
          <w:szCs w:val="20"/>
        </w:rPr>
      </w:pPr>
      <w:r>
        <w:rPr>
          <w:rFonts w:ascii="Times New Roman" w:eastAsia="Times New Roman" w:hAnsi="Times New Roman"/>
          <w:b/>
          <w:bCs/>
          <w:color w:val="44546A"/>
          <w:sz w:val="20"/>
          <w:szCs w:val="20"/>
          <w:lang w:val="it-IT"/>
        </w:rPr>
        <w:t>Termini e condizioni brevi</w:t>
      </w:r>
    </w:p>
    <w:p w14:paraId="6B5B2FF9" w14:textId="22C04BB5" w:rsidR="00F23A2D" w:rsidRPr="004D69D7" w:rsidRDefault="00850854" w:rsidP="006E3C14">
      <w:pPr>
        <w:pStyle w:val="BodyText"/>
        <w:spacing w:after="0"/>
        <w:ind w:left="0"/>
        <w:jc w:val="both"/>
        <w:rPr>
          <w:rFonts w:ascii="Times New Roman" w:hAnsi="Times New Roman"/>
          <w:sz w:val="20"/>
        </w:rPr>
      </w:pPr>
      <w:r>
        <w:rPr>
          <w:rFonts w:ascii="Times New Roman" w:eastAsia="Times New Roman" w:hAnsi="Times New Roman"/>
          <w:sz w:val="20"/>
          <w:szCs w:val="20"/>
          <w:lang w:val="it-IT"/>
        </w:rPr>
        <w:t xml:space="preserve">Ricevi uno strumento Fluke con un acquisto di almeno </w:t>
      </w:r>
      <w:r w:rsidRPr="00A641CB">
        <w:rPr>
          <w:rFonts w:ascii="Times New Roman" w:eastAsia="Times New Roman" w:hAnsi="Times New Roman"/>
          <w:b/>
          <w:bCs/>
          <w:sz w:val="20"/>
          <w:szCs w:val="20"/>
          <w:lang w:val="it-IT"/>
        </w:rPr>
        <w:t>150 €.</w:t>
      </w:r>
      <w:r w:rsidRPr="004D69D7">
        <w:rPr>
          <w:rFonts w:ascii="Times New Roman" w:eastAsia="Times New Roman" w:hAnsi="Times New Roman"/>
          <w:sz w:val="20"/>
          <w:szCs w:val="20"/>
          <w:lang w:val="it-IT"/>
        </w:rPr>
        <w:t>*</w:t>
      </w:r>
    </w:p>
    <w:p w14:paraId="1ECC5C6C" w14:textId="4625171A" w:rsidR="00F23A2D" w:rsidRPr="004D69D7" w:rsidRDefault="00850854" w:rsidP="006E3C14">
      <w:pPr>
        <w:pStyle w:val="BodyText"/>
        <w:spacing w:after="0"/>
        <w:ind w:left="0"/>
        <w:jc w:val="both"/>
        <w:rPr>
          <w:rFonts w:ascii="Times New Roman" w:hAnsi="Times New Roman"/>
          <w:sz w:val="20"/>
        </w:rPr>
      </w:pPr>
      <w:r w:rsidRPr="004D69D7">
        <w:rPr>
          <w:rFonts w:ascii="Times New Roman" w:eastAsia="Times New Roman" w:hAnsi="Times New Roman"/>
          <w:sz w:val="20"/>
          <w:szCs w:val="20"/>
          <w:lang w:val="it-IT"/>
        </w:rPr>
        <w:t>Come ricevere uno strumento da Fluke:</w:t>
      </w:r>
    </w:p>
    <w:p w14:paraId="21025289" w14:textId="65D83211" w:rsidR="00F23A2D" w:rsidRPr="006E3C14" w:rsidRDefault="00850854" w:rsidP="006E3C14">
      <w:pPr>
        <w:pStyle w:val="BodyText"/>
        <w:numPr>
          <w:ilvl w:val="0"/>
          <w:numId w:val="10"/>
        </w:numPr>
        <w:spacing w:after="0"/>
        <w:ind w:left="426" w:hanging="426"/>
        <w:jc w:val="both"/>
        <w:rPr>
          <w:rFonts w:ascii="Times New Roman" w:hAnsi="Times New Roman"/>
          <w:sz w:val="20"/>
        </w:rPr>
      </w:pPr>
      <w:r w:rsidRPr="004D69D7">
        <w:rPr>
          <w:rFonts w:ascii="Times New Roman" w:eastAsia="Times New Roman" w:hAnsi="Times New Roman"/>
          <w:sz w:val="20"/>
          <w:szCs w:val="20"/>
          <w:lang w:val="it-IT"/>
        </w:rPr>
        <w:t xml:space="preserve">Spendi almeno 150 € (IVA esclusa) su qualsiasi prodotto Fluke idoneo tra il </w:t>
      </w:r>
      <w:r w:rsidRPr="00A641CB">
        <w:rPr>
          <w:rFonts w:ascii="Times New Roman" w:eastAsia="Times New Roman" w:hAnsi="Times New Roman"/>
          <w:b/>
          <w:bCs/>
          <w:sz w:val="20"/>
          <w:szCs w:val="20"/>
          <w:lang w:val="it-IT"/>
        </w:rPr>
        <w:t>1</w:t>
      </w:r>
      <w:r w:rsidR="000E4EDE">
        <w:rPr>
          <w:rFonts w:ascii="Times New Roman" w:eastAsia="Times New Roman" w:hAnsi="Times New Roman"/>
          <w:b/>
          <w:bCs/>
          <w:sz w:val="20"/>
          <w:szCs w:val="20"/>
          <w:lang w:val="it-IT"/>
        </w:rPr>
        <w:t>7-02-2025 e il 31-07-2025</w:t>
      </w:r>
      <w:r w:rsidRPr="004D69D7">
        <w:rPr>
          <w:rFonts w:ascii="Times New Roman" w:eastAsia="Times New Roman" w:hAnsi="Times New Roman"/>
          <w:sz w:val="20"/>
          <w:szCs w:val="20"/>
          <w:lang w:val="it-IT"/>
        </w:rPr>
        <w:t>.</w:t>
      </w:r>
      <w:r>
        <w:rPr>
          <w:rFonts w:ascii="Times New Roman" w:eastAsia="Times New Roman" w:hAnsi="Times New Roman"/>
          <w:sz w:val="20"/>
          <w:szCs w:val="20"/>
          <w:lang w:val="it-IT"/>
        </w:rPr>
        <w:t xml:space="preserve"> </w:t>
      </w:r>
    </w:p>
    <w:p w14:paraId="71250731" w14:textId="786E2516" w:rsidR="00F23A2D" w:rsidRPr="006E3C14" w:rsidRDefault="00850854"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it-IT"/>
        </w:rPr>
        <w:t xml:space="preserve">I clienti finali residenti nell’Unione Europea continentale, nel Regno Unito, in Svizzera, Norvegia, Svezia, Finlandia, Albania, Bosnia-Erzegovina, Islanda, Macedonia e Serbia (escluse le Isole Canarie, l’Ucraina e qualsiasi Paese a cui si applicano attualmente le sanzioni commerciali UE o USA) (“Territorio del Programma”) sono idonei a partecipare a questa promozione. Gli acquisti devono essere effettuati presso un distributore autorizzato Fluke nel Paese di residenza del cliente, che deve trovarsi nel Territorio del Programma. </w:t>
      </w:r>
    </w:p>
    <w:p w14:paraId="3491D032" w14:textId="77777777" w:rsidR="00F23A2D" w:rsidRPr="006E3C14" w:rsidRDefault="00850854"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it-IT"/>
        </w:rPr>
        <w:t xml:space="preserve">È necessario disporre di una prova di acquisto, ad esempio una fattura o ricevuta. </w:t>
      </w:r>
      <w:bookmarkStart w:id="0" w:name="_Hlk29220021"/>
      <w:r>
        <w:rPr>
          <w:rFonts w:ascii="Times New Roman" w:eastAsia="Times New Roman" w:hAnsi="Times New Roman"/>
          <w:sz w:val="20"/>
          <w:szCs w:val="20"/>
          <w:lang w:val="it-IT"/>
        </w:rPr>
        <w:t>Distinte di imballaggio, ordini di acquisto e conferme dell’ordine non sono prove di acquisto.</w:t>
      </w:r>
      <w:bookmarkEnd w:id="0"/>
    </w:p>
    <w:p w14:paraId="58ECEF7F" w14:textId="77777777" w:rsidR="00F23A2D" w:rsidRPr="006E3C14" w:rsidRDefault="00850854"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it-IT"/>
        </w:rPr>
        <w:t>La promozione è valida esclusivamente per i prodotti Fluke idonei.</w:t>
      </w:r>
    </w:p>
    <w:p w14:paraId="14ACB31B" w14:textId="77777777" w:rsidR="00F23A2D" w:rsidRPr="006E3C14" w:rsidRDefault="00850854" w:rsidP="006E3C14">
      <w:pPr>
        <w:pStyle w:val="BodyText"/>
        <w:numPr>
          <w:ilvl w:val="0"/>
          <w:numId w:val="11"/>
        </w:numPr>
        <w:spacing w:after="0"/>
        <w:ind w:left="709"/>
        <w:jc w:val="both"/>
        <w:rPr>
          <w:rFonts w:ascii="Times New Roman" w:hAnsi="Times New Roman"/>
          <w:sz w:val="20"/>
        </w:rPr>
      </w:pPr>
      <w:r>
        <w:rPr>
          <w:rFonts w:ascii="Times New Roman" w:eastAsia="Times New Roman" w:hAnsi="Times New Roman"/>
          <w:sz w:val="20"/>
          <w:szCs w:val="20"/>
          <w:lang w:val="it-IT"/>
        </w:rPr>
        <w:t>Per gli acquisti online, è necessario disporre della prova della consegna su cui sia indicato il corriere, la data di consegna e il numero di tracking elettronico.</w:t>
      </w:r>
    </w:p>
    <w:p w14:paraId="405FCFBA" w14:textId="21A9BDCE" w:rsidR="00F23A2D" w:rsidRPr="00850854" w:rsidRDefault="00850854" w:rsidP="006E3C14">
      <w:pPr>
        <w:pStyle w:val="BodyText"/>
        <w:numPr>
          <w:ilvl w:val="0"/>
          <w:numId w:val="10"/>
        </w:numPr>
        <w:spacing w:after="0"/>
        <w:ind w:left="426" w:hanging="426"/>
        <w:jc w:val="both"/>
        <w:rPr>
          <w:rFonts w:ascii="Times New Roman" w:hAnsi="Times New Roman"/>
          <w:sz w:val="20"/>
          <w:lang w:val="nl-NL"/>
        </w:rPr>
      </w:pPr>
      <w:r>
        <w:rPr>
          <w:rFonts w:ascii="Times New Roman" w:eastAsia="Times New Roman" w:hAnsi="Times New Roman"/>
          <w:sz w:val="20"/>
          <w:szCs w:val="20"/>
          <w:lang w:val="it-IT"/>
        </w:rPr>
        <w:t xml:space="preserve">Richiedi il tuo omaggio online! Visita: </w:t>
      </w:r>
      <w:hyperlink r:id="rId12" w:history="1">
        <w:r w:rsidR="000E4EDE" w:rsidRPr="0031558E">
          <w:rPr>
            <w:rStyle w:val="Hyperlink"/>
            <w:rFonts w:ascii="Times New Roman" w:eastAsia="Times New Roman" w:hAnsi="Times New Roman"/>
            <w:sz w:val="20"/>
            <w:szCs w:val="20"/>
            <w:lang w:val="it-IT"/>
          </w:rPr>
          <w:t>www.fluke.it/freegift</w:t>
        </w:r>
      </w:hyperlink>
      <w:r>
        <w:rPr>
          <w:rFonts w:ascii="Times New Roman" w:eastAsia="Times New Roman" w:hAnsi="Times New Roman"/>
          <w:sz w:val="20"/>
          <w:szCs w:val="20"/>
          <w:lang w:val="it-IT"/>
        </w:rPr>
        <w:t xml:space="preserve"> </w:t>
      </w:r>
    </w:p>
    <w:p w14:paraId="3A8A3F6A" w14:textId="10666C28" w:rsidR="00F23A2D" w:rsidRPr="006E3C14" w:rsidRDefault="00850854" w:rsidP="006E3C14">
      <w:pPr>
        <w:pStyle w:val="BodyText"/>
        <w:numPr>
          <w:ilvl w:val="0"/>
          <w:numId w:val="10"/>
        </w:numPr>
        <w:spacing w:after="0"/>
        <w:ind w:left="426" w:hanging="426"/>
        <w:jc w:val="both"/>
        <w:rPr>
          <w:rFonts w:ascii="Times New Roman" w:hAnsi="Times New Roman"/>
          <w:sz w:val="20"/>
        </w:rPr>
      </w:pPr>
      <w:r>
        <w:rPr>
          <w:rFonts w:ascii="Times New Roman" w:eastAsia="Times New Roman" w:hAnsi="Times New Roman"/>
          <w:sz w:val="20"/>
          <w:szCs w:val="20"/>
          <w:lang w:val="it-IT"/>
        </w:rPr>
        <w:t>Ricevi il tuo nuovo strumento Fluke!</w:t>
      </w:r>
    </w:p>
    <w:p w14:paraId="64AF9C93" w14:textId="7E9030C9" w:rsidR="00F23A2D" w:rsidRPr="006E3C14" w:rsidRDefault="00850854" w:rsidP="006E3C14">
      <w:pPr>
        <w:pStyle w:val="BodyText"/>
        <w:spacing w:after="0"/>
        <w:ind w:left="0"/>
        <w:jc w:val="both"/>
        <w:rPr>
          <w:rFonts w:ascii="Times New Roman" w:hAnsi="Times New Roman"/>
          <w:sz w:val="20"/>
        </w:rPr>
      </w:pPr>
      <w:r>
        <w:rPr>
          <w:rFonts w:ascii="Times New Roman" w:eastAsia="Times New Roman" w:hAnsi="Times New Roman"/>
          <w:sz w:val="20"/>
          <w:szCs w:val="20"/>
          <w:lang w:val="it-IT"/>
        </w:rPr>
        <w:t xml:space="preserve">*Promozione soggetta a termini e condizioni aggiuntive. Partecipando alla presente promozione, ne accetti i termini e le condizioni. I termini e le condizioni completi sono consultabili all’indirizzo </w:t>
      </w:r>
      <w:r w:rsidR="004D69D7">
        <w:rPr>
          <w:rFonts w:ascii="Times New Roman" w:eastAsia="Times New Roman" w:hAnsi="Times New Roman"/>
          <w:sz w:val="20"/>
          <w:szCs w:val="20"/>
          <w:lang w:val="it-IT"/>
        </w:rPr>
        <w:t xml:space="preserve"> </w:t>
      </w:r>
      <w:hyperlink r:id="rId13" w:history="1">
        <w:r w:rsidR="000E4EDE" w:rsidRPr="0031558E">
          <w:rPr>
            <w:rStyle w:val="Hyperlink"/>
            <w:rFonts w:ascii="Times New Roman" w:eastAsia="Times New Roman" w:hAnsi="Times New Roman"/>
            <w:sz w:val="20"/>
            <w:szCs w:val="20"/>
            <w:lang w:val="it-IT"/>
          </w:rPr>
          <w:t>www.fluke.it/freegift</w:t>
        </w:r>
      </w:hyperlink>
    </w:p>
    <w:p w14:paraId="3BCE5A12" w14:textId="77777777" w:rsidR="00F5105E" w:rsidRDefault="00F5105E" w:rsidP="00F5105E">
      <w:pPr>
        <w:pStyle w:val="TITLECAPS"/>
        <w:spacing w:after="0"/>
        <w:jc w:val="both"/>
        <w:rPr>
          <w:rFonts w:ascii="Times New Roman" w:hAnsi="Times New Roman"/>
          <w:color w:val="1F497D"/>
          <w:sz w:val="20"/>
          <w:szCs w:val="20"/>
        </w:rPr>
      </w:pPr>
    </w:p>
    <w:p w14:paraId="1691B4D8" w14:textId="77777777" w:rsidR="00F5105E" w:rsidRDefault="00F5105E" w:rsidP="00F5105E">
      <w:pPr>
        <w:pStyle w:val="Title"/>
        <w:spacing w:after="0"/>
        <w:jc w:val="both"/>
        <w:rPr>
          <w:rFonts w:ascii="Times New Roman" w:hAnsi="Times New Roman"/>
          <w:sz w:val="20"/>
          <w:szCs w:val="20"/>
        </w:rPr>
      </w:pPr>
    </w:p>
    <w:p w14:paraId="1DFD94F0" w14:textId="6B041475" w:rsidR="00227B20" w:rsidRPr="00490983" w:rsidRDefault="00850854" w:rsidP="00F5105E">
      <w:pPr>
        <w:pStyle w:val="Title"/>
        <w:spacing w:after="0"/>
        <w:jc w:val="both"/>
        <w:rPr>
          <w:rFonts w:ascii="Times New Roman" w:hAnsi="Times New Roman"/>
          <w:color w:val="auto"/>
          <w:sz w:val="20"/>
          <w:szCs w:val="20"/>
        </w:rPr>
      </w:pPr>
      <w:r>
        <w:rPr>
          <w:rFonts w:ascii="Times New Roman" w:eastAsia="Times New Roman" w:hAnsi="Times New Roman"/>
          <w:bCs/>
          <w:color w:val="4472C4"/>
          <w:sz w:val="20"/>
          <w:szCs w:val="20"/>
          <w:lang w:val="it-IT"/>
        </w:rPr>
        <w:t>Termini e condizioni</w:t>
      </w:r>
    </w:p>
    <w:p w14:paraId="1E8C0925" w14:textId="77777777" w:rsidR="00F5105E" w:rsidRPr="006D63B1" w:rsidRDefault="00F5105E" w:rsidP="00012874">
      <w:pPr>
        <w:rPr>
          <w:sz w:val="20"/>
          <w:szCs w:val="20"/>
        </w:rPr>
      </w:pPr>
    </w:p>
    <w:p w14:paraId="24478E83" w14:textId="7386C150" w:rsidR="00227B20" w:rsidRPr="006D63B1" w:rsidRDefault="00850854" w:rsidP="000A4866">
      <w:pPr>
        <w:pStyle w:val="ListParagraph"/>
        <w:numPr>
          <w:ilvl w:val="0"/>
          <w:numId w:val="9"/>
        </w:numPr>
        <w:ind w:left="284" w:hanging="284"/>
        <w:jc w:val="both"/>
        <w:rPr>
          <w:sz w:val="20"/>
        </w:rPr>
      </w:pPr>
      <w:r>
        <w:rPr>
          <w:rFonts w:eastAsia="Times New Roman"/>
          <w:b/>
          <w:bCs/>
          <w:sz w:val="20"/>
          <w:szCs w:val="20"/>
          <w:lang w:val="it-IT"/>
        </w:rPr>
        <w:t>Panoramica</w:t>
      </w:r>
      <w:r>
        <w:rPr>
          <w:rFonts w:eastAsia="Times New Roman"/>
          <w:sz w:val="20"/>
          <w:szCs w:val="20"/>
          <w:lang w:val="it-IT"/>
        </w:rPr>
        <w:t xml:space="preserve">.  In base al programma </w:t>
      </w:r>
      <w:r w:rsidR="000E4EDE">
        <w:rPr>
          <w:rFonts w:eastAsia="Times New Roman"/>
          <w:sz w:val="20"/>
          <w:szCs w:val="20"/>
          <w:lang w:val="it-IT"/>
        </w:rPr>
        <w:t>“</w:t>
      </w:r>
      <w:r w:rsidR="000E4EDE" w:rsidRPr="000E4EDE">
        <w:rPr>
          <w:rFonts w:eastAsia="Times New Roman"/>
          <w:sz w:val="20"/>
          <w:szCs w:val="20"/>
          <w:lang w:val="it-IT"/>
        </w:rPr>
        <w:t xml:space="preserve">Offerte di Primavera di Fluke; Uno lo compri, uno lo ottienti gratis </w:t>
      </w:r>
      <w:r w:rsidR="000E4EDE">
        <w:rPr>
          <w:rFonts w:eastAsia="Times New Roman"/>
          <w:sz w:val="20"/>
          <w:szCs w:val="20"/>
          <w:lang w:val="it-IT"/>
        </w:rPr>
        <w:t>–</w:t>
      </w:r>
      <w:r w:rsidR="000E4EDE" w:rsidRPr="000E4EDE">
        <w:rPr>
          <w:rFonts w:eastAsia="Times New Roman"/>
          <w:sz w:val="20"/>
          <w:szCs w:val="20"/>
          <w:lang w:val="it-IT"/>
        </w:rPr>
        <w:t xml:space="preserve"> 2025</w:t>
      </w:r>
      <w:r w:rsidR="000E4EDE">
        <w:rPr>
          <w:rFonts w:eastAsia="Times New Roman"/>
          <w:sz w:val="20"/>
          <w:szCs w:val="20"/>
          <w:lang w:val="it-IT"/>
        </w:rPr>
        <w:t>”</w:t>
      </w:r>
      <w:r>
        <w:rPr>
          <w:rFonts w:eastAsia="Times New Roman"/>
          <w:sz w:val="20"/>
          <w:szCs w:val="20"/>
          <w:lang w:val="it-IT"/>
        </w:rPr>
        <w:t xml:space="preserve"> (il “</w:t>
      </w:r>
      <w:r>
        <w:rPr>
          <w:rFonts w:eastAsia="Times New Roman"/>
          <w:b/>
          <w:bCs/>
          <w:i/>
          <w:iCs/>
          <w:sz w:val="20"/>
          <w:szCs w:val="20"/>
          <w:lang w:val="it-IT"/>
        </w:rPr>
        <w:t>Programma</w:t>
      </w:r>
      <w:r>
        <w:rPr>
          <w:rFonts w:eastAsia="Times New Roman"/>
          <w:sz w:val="20"/>
          <w:szCs w:val="20"/>
          <w:lang w:val="it-IT"/>
        </w:rPr>
        <w:t>” o la “</w:t>
      </w:r>
      <w:r>
        <w:rPr>
          <w:rFonts w:eastAsia="Times New Roman"/>
          <w:b/>
          <w:bCs/>
          <w:i/>
          <w:iCs/>
          <w:sz w:val="20"/>
          <w:szCs w:val="20"/>
          <w:lang w:val="it-IT"/>
        </w:rPr>
        <w:t>Promozione</w:t>
      </w:r>
      <w:r>
        <w:rPr>
          <w:rFonts w:eastAsia="Times New Roman"/>
          <w:sz w:val="20"/>
          <w:szCs w:val="20"/>
          <w:lang w:val="it-IT"/>
        </w:rPr>
        <w:t xml:space="preserve">”), durante il periodo </w:t>
      </w:r>
      <w:r w:rsidRPr="004D69D7">
        <w:rPr>
          <w:rFonts w:eastAsia="Times New Roman"/>
          <w:sz w:val="20"/>
          <w:szCs w:val="20"/>
          <w:lang w:val="it-IT"/>
        </w:rPr>
        <w:t>dal 1</w:t>
      </w:r>
      <w:r w:rsidR="000E4EDE">
        <w:rPr>
          <w:rFonts w:eastAsia="Times New Roman"/>
          <w:sz w:val="20"/>
          <w:szCs w:val="20"/>
          <w:lang w:val="it-IT"/>
        </w:rPr>
        <w:t>7-02-2025</w:t>
      </w:r>
      <w:r w:rsidRPr="004D69D7">
        <w:rPr>
          <w:rFonts w:eastAsia="Times New Roman"/>
          <w:sz w:val="20"/>
          <w:szCs w:val="20"/>
          <w:lang w:val="it-IT"/>
        </w:rPr>
        <w:t xml:space="preserve"> al 31</w:t>
      </w:r>
      <w:r w:rsidR="000E4EDE">
        <w:rPr>
          <w:rFonts w:eastAsia="Times New Roman"/>
          <w:sz w:val="20"/>
          <w:szCs w:val="20"/>
          <w:lang w:val="it-IT"/>
        </w:rPr>
        <w:t>-07-2025</w:t>
      </w:r>
      <w:r w:rsidRPr="004D69D7">
        <w:rPr>
          <w:rFonts w:eastAsia="Times New Roman"/>
          <w:sz w:val="20"/>
          <w:szCs w:val="20"/>
          <w:lang w:val="it-IT"/>
        </w:rPr>
        <w:t xml:space="preserve"> (</w:t>
      </w:r>
      <w:r>
        <w:rPr>
          <w:rFonts w:eastAsia="Times New Roman"/>
          <w:sz w:val="20"/>
          <w:szCs w:val="20"/>
          <w:lang w:val="it-IT"/>
        </w:rPr>
        <w:t>il “</w:t>
      </w:r>
      <w:r>
        <w:rPr>
          <w:rFonts w:eastAsia="Times New Roman"/>
          <w:b/>
          <w:bCs/>
          <w:i/>
          <w:iCs/>
          <w:sz w:val="20"/>
          <w:szCs w:val="20"/>
          <w:lang w:val="it-IT"/>
        </w:rPr>
        <w:t>Periodo del Programma</w:t>
      </w:r>
      <w:r>
        <w:rPr>
          <w:rFonts w:eastAsia="Times New Roman"/>
          <w:sz w:val="20"/>
          <w:szCs w:val="20"/>
          <w:lang w:val="it-IT"/>
        </w:rPr>
        <w:t>”), riceverai un omaggio Fluke a tua scelta (“</w:t>
      </w:r>
      <w:r>
        <w:rPr>
          <w:rFonts w:eastAsia="Times New Roman"/>
          <w:b/>
          <w:bCs/>
          <w:i/>
          <w:iCs/>
          <w:sz w:val="20"/>
          <w:szCs w:val="20"/>
          <w:lang w:val="it-IT"/>
        </w:rPr>
        <w:t>Omaggio</w:t>
      </w:r>
      <w:r>
        <w:rPr>
          <w:rFonts w:eastAsia="Times New Roman"/>
          <w:sz w:val="20"/>
          <w:szCs w:val="20"/>
          <w:lang w:val="it-IT"/>
        </w:rPr>
        <w:t>”) con l’acquisto di un prodotto Fluke idoneo (“</w:t>
      </w:r>
      <w:r>
        <w:rPr>
          <w:rFonts w:eastAsia="Times New Roman"/>
          <w:b/>
          <w:bCs/>
          <w:i/>
          <w:iCs/>
          <w:sz w:val="20"/>
          <w:szCs w:val="20"/>
          <w:lang w:val="it-IT"/>
        </w:rPr>
        <w:t>Acquisto idoneo</w:t>
      </w:r>
      <w:r>
        <w:rPr>
          <w:rFonts w:eastAsia="Times New Roman"/>
          <w:sz w:val="20"/>
          <w:szCs w:val="20"/>
          <w:lang w:val="it-IT"/>
        </w:rPr>
        <w:t>”) come descritto di seguito, da un distributore autorizzato nell’Unione europea continentale, Regno Unito, Svizzera, Norvegia, Svezia, Finlandia, Albania, Bosnia-Erzegovina, Islanda, Macedonia del Nord, e la Serbia (esclusi le Isole Canarie, l’Ucraina e qualsiasi Paese in cui si applicano attualmente le sanzioni commerciali dell’UE o degli Stati Uniti) (“</w:t>
      </w:r>
      <w:r>
        <w:rPr>
          <w:rFonts w:eastAsia="Times New Roman"/>
          <w:b/>
          <w:bCs/>
          <w:i/>
          <w:iCs/>
          <w:sz w:val="20"/>
          <w:szCs w:val="20"/>
          <w:lang w:val="it-IT"/>
        </w:rPr>
        <w:t>Territorio del Programma</w:t>
      </w:r>
      <w:r>
        <w:rPr>
          <w:rFonts w:eastAsia="Times New Roman"/>
          <w:sz w:val="20"/>
          <w:szCs w:val="20"/>
          <w:lang w:val="it-IT"/>
        </w:rPr>
        <w:t>”).  Per effettuare un Acquisto idoneo, contattare direttamente Fluke Europe B.V. (“</w:t>
      </w:r>
      <w:r>
        <w:rPr>
          <w:rFonts w:eastAsia="Times New Roman"/>
          <w:b/>
          <w:bCs/>
          <w:i/>
          <w:iCs/>
          <w:sz w:val="20"/>
          <w:szCs w:val="20"/>
          <w:lang w:val="it-IT"/>
        </w:rPr>
        <w:t>Sponsor</w:t>
      </w:r>
      <w:r>
        <w:rPr>
          <w:rFonts w:eastAsia="Times New Roman"/>
          <w:sz w:val="20"/>
          <w:szCs w:val="20"/>
          <w:lang w:val="it-IT"/>
        </w:rPr>
        <w:t xml:space="preserve">”) o trovare un distributore autorizzato tra quelli indicati </w:t>
      </w:r>
      <w:hyperlink r:id="rId14" w:history="1">
        <w:r>
          <w:rPr>
            <w:rFonts w:eastAsia="Times New Roman"/>
            <w:color w:val="0000FF"/>
            <w:sz w:val="20"/>
            <w:szCs w:val="20"/>
            <w:u w:val="single"/>
            <w:lang w:val="it-IT"/>
          </w:rPr>
          <w:t>qui</w:t>
        </w:r>
      </w:hyperlink>
      <w:r>
        <w:rPr>
          <w:rFonts w:eastAsia="Times New Roman"/>
          <w:color w:val="0000FF"/>
          <w:sz w:val="20"/>
          <w:szCs w:val="20"/>
          <w:lang w:val="it-IT"/>
        </w:rPr>
        <w:t xml:space="preserve"> </w:t>
      </w:r>
      <w:r>
        <w:rPr>
          <w:rFonts w:eastAsia="Times New Roman"/>
          <w:sz w:val="20"/>
          <w:szCs w:val="20"/>
          <w:lang w:val="it-IT"/>
        </w:rPr>
        <w:t>.</w:t>
      </w:r>
    </w:p>
    <w:p w14:paraId="2AC149F4" w14:textId="77777777" w:rsidR="00351E27" w:rsidRPr="006D63B1" w:rsidRDefault="00351E27" w:rsidP="00F5105E">
      <w:pPr>
        <w:pStyle w:val="BodyText"/>
        <w:spacing w:after="0"/>
        <w:ind w:left="270"/>
        <w:jc w:val="both"/>
        <w:rPr>
          <w:rFonts w:ascii="Times New Roman" w:hAnsi="Times New Roman"/>
          <w:sz w:val="20"/>
          <w:szCs w:val="20"/>
        </w:rPr>
      </w:pPr>
    </w:p>
    <w:p w14:paraId="6832EA77" w14:textId="20D72624" w:rsidR="00227B20" w:rsidRDefault="00850854" w:rsidP="00F5105E">
      <w:pPr>
        <w:pStyle w:val="BodyText"/>
        <w:spacing w:after="0"/>
        <w:ind w:left="270"/>
        <w:jc w:val="both"/>
        <w:rPr>
          <w:rFonts w:ascii="Times New Roman" w:eastAsia="Times New Roman" w:hAnsi="Times New Roman"/>
          <w:sz w:val="20"/>
          <w:szCs w:val="20"/>
          <w:lang w:val="it-IT"/>
        </w:rPr>
      </w:pPr>
      <w:r>
        <w:rPr>
          <w:rFonts w:ascii="Times New Roman" w:eastAsia="Times New Roman" w:hAnsi="Times New Roman"/>
          <w:sz w:val="20"/>
          <w:szCs w:val="20"/>
          <w:lang w:val="it-IT"/>
        </w:rPr>
        <w:t>Ogni Acquisto idoneo deve essere effettuato durante il Periodo del programma, come indicato dalla data di acquisto sulla fattura/ricevuta del cliente. La Promozione è valida solamente per gli acquisti effettuati durante il Periodo del Programma. L’offerta disponibile nell’ambito del Programma non può essere combinata con altre offerte o riscattata in cambio di prodotti, servizi, contanti o crediti alternativi, ad eccezione di quanto espressamente autorizzato nei presenti termini e condizioni.</w:t>
      </w:r>
    </w:p>
    <w:p w14:paraId="17A19364" w14:textId="77777777" w:rsidR="00850854" w:rsidRDefault="00850854" w:rsidP="00F5105E">
      <w:pPr>
        <w:pStyle w:val="BodyText"/>
        <w:spacing w:after="0"/>
        <w:ind w:left="270"/>
        <w:jc w:val="both"/>
        <w:rPr>
          <w:rFonts w:ascii="Times New Roman" w:eastAsia="Times New Roman" w:hAnsi="Times New Roman"/>
          <w:sz w:val="20"/>
          <w:szCs w:val="20"/>
          <w:lang w:val="it-IT"/>
        </w:rPr>
      </w:pPr>
    </w:p>
    <w:p w14:paraId="4E18D4E2" w14:textId="77777777" w:rsidR="004D69D7" w:rsidRPr="006D63B1" w:rsidRDefault="004D69D7" w:rsidP="004D69D7">
      <w:pPr>
        <w:pStyle w:val="ListParagraph"/>
        <w:numPr>
          <w:ilvl w:val="0"/>
          <w:numId w:val="9"/>
        </w:numPr>
        <w:ind w:left="284" w:hanging="284"/>
        <w:jc w:val="both"/>
        <w:rPr>
          <w:sz w:val="20"/>
        </w:rPr>
      </w:pPr>
      <w:r>
        <w:rPr>
          <w:rFonts w:eastAsia="Times New Roman"/>
          <w:b/>
          <w:bCs/>
          <w:sz w:val="20"/>
          <w:szCs w:val="20"/>
          <w:lang w:val="it-IT"/>
        </w:rPr>
        <w:t>Eleggibilità</w:t>
      </w:r>
      <w:r>
        <w:rPr>
          <w:rFonts w:eastAsia="Times New Roman"/>
          <w:sz w:val="20"/>
          <w:szCs w:val="20"/>
          <w:lang w:val="it-IT"/>
        </w:rPr>
        <w:t xml:space="preserve">.  La Promozione è nulla laddove proibita dalla legge e rivolta solo ai clienti con sede nel Territorio del Programma.  </w:t>
      </w:r>
    </w:p>
    <w:p w14:paraId="29ABC622" w14:textId="77777777" w:rsidR="004D69D7" w:rsidRPr="006D63B1" w:rsidRDefault="004D69D7" w:rsidP="004D69D7">
      <w:pPr>
        <w:pStyle w:val="ListParagraph"/>
        <w:ind w:left="284"/>
        <w:jc w:val="both"/>
        <w:rPr>
          <w:sz w:val="20"/>
        </w:rPr>
      </w:pPr>
    </w:p>
    <w:p w14:paraId="3DDCCCA2" w14:textId="77777777" w:rsidR="004D69D7" w:rsidRPr="006D63B1" w:rsidRDefault="004D69D7" w:rsidP="004D69D7">
      <w:pPr>
        <w:pStyle w:val="BodyText"/>
        <w:spacing w:after="0"/>
        <w:ind w:left="270"/>
        <w:jc w:val="both"/>
        <w:rPr>
          <w:rFonts w:ascii="Times New Roman" w:hAnsi="Times New Roman"/>
          <w:sz w:val="20"/>
        </w:rPr>
      </w:pPr>
      <w:r>
        <w:rPr>
          <w:rFonts w:ascii="Times New Roman" w:eastAsia="Times New Roman" w:hAnsi="Times New Roman"/>
          <w:sz w:val="20"/>
          <w:szCs w:val="20"/>
          <w:lang w:val="it-IT"/>
        </w:rPr>
        <w:t>Se effettui un Acquisto idoneo specificato nella tua richiesta di omaggio a favore o per conto del tuo datore di lavoro, accetti di consegnare tempestivamente qualsiasi omaggio assegnato ai sensi del Programma al tuo datore di lavoro e di fornire allo Sponsor prova di tale consegna su richiesta.  Inoltre, sei l’unico responsabile del rispetto delle politiche della tua azienda in merito all’accettazione di omaggi e alla partecipazione a promozioni come questo Programma.</w:t>
      </w:r>
    </w:p>
    <w:p w14:paraId="5AA34B3A" w14:textId="77777777" w:rsidR="004D69D7" w:rsidRPr="006D63B1" w:rsidRDefault="004D69D7" w:rsidP="004D69D7">
      <w:pPr>
        <w:pStyle w:val="OutlineL1"/>
        <w:numPr>
          <w:ilvl w:val="0"/>
          <w:numId w:val="0"/>
        </w:numPr>
        <w:spacing w:after="0"/>
        <w:ind w:left="270"/>
        <w:jc w:val="both"/>
        <w:rPr>
          <w:rFonts w:ascii="Times New Roman" w:eastAsia="Calibri" w:hAnsi="Times New Roman"/>
          <w:color w:val="auto"/>
          <w:sz w:val="20"/>
          <w:szCs w:val="24"/>
        </w:rPr>
      </w:pPr>
    </w:p>
    <w:p w14:paraId="4589CAE2" w14:textId="77777777" w:rsidR="004D69D7" w:rsidRPr="006D63B1" w:rsidRDefault="004D69D7" w:rsidP="004D69D7">
      <w:pPr>
        <w:pStyle w:val="OutlineL1"/>
        <w:numPr>
          <w:ilvl w:val="0"/>
          <w:numId w:val="0"/>
        </w:numPr>
        <w:spacing w:after="0"/>
        <w:ind w:left="270"/>
        <w:jc w:val="both"/>
        <w:rPr>
          <w:rFonts w:ascii="Times New Roman" w:eastAsia="Calibri" w:hAnsi="Times New Roman"/>
          <w:color w:val="auto"/>
          <w:sz w:val="20"/>
          <w:szCs w:val="24"/>
        </w:rPr>
      </w:pPr>
      <w:r>
        <w:rPr>
          <w:rFonts w:ascii="Times New Roman" w:hAnsi="Times New Roman"/>
          <w:color w:val="auto"/>
          <w:sz w:val="20"/>
          <w:lang w:val="it-IT"/>
        </w:rPr>
        <w:t xml:space="preserve">I dipendenti, i dirigenti e i funzionari dello Sponsor, le rispettive aziende, affiliate, sussidiarie, (sub)distributori, agenti, rivenditori, rappresentanti, agenzie di pubbliche relazioni, pubblicitarie, di promozioni e di adempimento, consulenti professionali, assistenti, fornitori di siti Web, Web master e i loro familiari più stretti (genitori, fratelli, figli e coniugi, ovunque essi vivano) e le persone appartenenti allo stesso nucleo familiare (imparentate o meno) </w:t>
      </w:r>
      <w:r>
        <w:rPr>
          <w:rFonts w:ascii="Times New Roman" w:hAnsi="Times New Roman"/>
          <w:color w:val="auto"/>
          <w:sz w:val="20"/>
          <w:lang w:val="it-IT"/>
        </w:rPr>
        <w:lastRenderedPageBreak/>
        <w:t>non sono autorizzati a partecipare alla Promozione. La presente Promozione non si applica ai professionisti del settore sanitario, ossia (a) persone fisiche (o giuridiche) coinvolte nella fornitura di servizi sanitari a pazienti, o (b) persone fisiche (o giuridiche) che acquistano, noleggiano, raccomandano, utilizzano, prescrivono od organizzano l’acquisto o il noleggio di prodotti o servizi medici per conto degli operatori sanitari, inclusi agenti commerciali dei medici e dirigenti e responsabili di ambulatori medici all’interno di organizzazioni di gruppi d’acquisto mediche. Inoltre, nessun dipendente, funzionario, direttore o rappresentante o agente dei distributori dello Sponsor o un qualsiasi produttore di strumenti concorrenti può partecipare al Programma.</w:t>
      </w:r>
    </w:p>
    <w:p w14:paraId="1785ECC2" w14:textId="77777777" w:rsidR="00850854" w:rsidRPr="006D63B1" w:rsidRDefault="00850854" w:rsidP="00F5105E">
      <w:pPr>
        <w:pStyle w:val="BodyText"/>
        <w:spacing w:after="0"/>
        <w:ind w:left="270"/>
        <w:jc w:val="both"/>
        <w:rPr>
          <w:rFonts w:ascii="Times New Roman" w:hAnsi="Times New Roman"/>
          <w:sz w:val="20"/>
          <w:szCs w:val="20"/>
        </w:rPr>
      </w:pPr>
    </w:p>
    <w:p w14:paraId="515866A8" w14:textId="213CD4DE" w:rsidR="00227B20" w:rsidRPr="00F805DE" w:rsidRDefault="00850854" w:rsidP="00F805DE">
      <w:pPr>
        <w:pStyle w:val="ListParagraph"/>
        <w:numPr>
          <w:ilvl w:val="0"/>
          <w:numId w:val="14"/>
        </w:numPr>
        <w:jc w:val="both"/>
        <w:rPr>
          <w:sz w:val="20"/>
        </w:rPr>
      </w:pPr>
      <w:r>
        <w:rPr>
          <w:rFonts w:eastAsia="Times New Roman"/>
          <w:b/>
          <w:bCs/>
          <w:sz w:val="20"/>
          <w:szCs w:val="20"/>
          <w:lang w:val="it-IT"/>
        </w:rPr>
        <w:t>Dettagli del programma</w:t>
      </w:r>
      <w:r>
        <w:rPr>
          <w:rFonts w:eastAsia="Times New Roman"/>
          <w:sz w:val="20"/>
          <w:szCs w:val="20"/>
          <w:lang w:val="it-IT"/>
        </w:rPr>
        <w:t xml:space="preserve">.  </w:t>
      </w:r>
    </w:p>
    <w:p w14:paraId="3FBF7926" w14:textId="77777777" w:rsidR="00945A1B" w:rsidRPr="006D63B1" w:rsidRDefault="00945A1B" w:rsidP="001750F9">
      <w:pPr>
        <w:pStyle w:val="BodyText"/>
        <w:spacing w:after="0"/>
        <w:rPr>
          <w:rFonts w:ascii="Times New Roman" w:hAnsi="Times New Roman"/>
          <w:sz w:val="20"/>
        </w:rPr>
      </w:pPr>
    </w:p>
    <w:p w14:paraId="5E6B8BE0" w14:textId="73033AB3" w:rsidR="00920FA5" w:rsidRPr="00307B32" w:rsidRDefault="00850854" w:rsidP="00F805DE">
      <w:pPr>
        <w:pStyle w:val="ListParagraph"/>
        <w:numPr>
          <w:ilvl w:val="1"/>
          <w:numId w:val="14"/>
        </w:numPr>
        <w:jc w:val="both"/>
        <w:rPr>
          <w:sz w:val="20"/>
        </w:rPr>
      </w:pPr>
      <w:r>
        <w:rPr>
          <w:rFonts w:eastAsia="Times New Roman"/>
          <w:sz w:val="20"/>
          <w:szCs w:val="20"/>
          <w:lang w:val="it-IT"/>
        </w:rPr>
        <w:t xml:space="preserve">Effettua un Acquisto idoneo di uno dei seguenti prodotti presso un distributore autorizzato tra quelli elencati </w:t>
      </w:r>
      <w:hyperlink r:id="rId15" w:history="1">
        <w:r>
          <w:rPr>
            <w:rFonts w:eastAsia="Times New Roman"/>
            <w:color w:val="0000FF"/>
            <w:sz w:val="20"/>
            <w:szCs w:val="20"/>
            <w:u w:val="single"/>
            <w:lang w:val="it-IT"/>
          </w:rPr>
          <w:t>qui</w:t>
        </w:r>
      </w:hyperlink>
      <w:r>
        <w:rPr>
          <w:rFonts w:eastAsia="Times New Roman"/>
          <w:sz w:val="20"/>
          <w:szCs w:val="20"/>
          <w:lang w:val="it-IT"/>
        </w:rPr>
        <w:t xml:space="preserve">. </w:t>
      </w:r>
    </w:p>
    <w:p w14:paraId="7B956D38" w14:textId="77777777" w:rsidR="000B2D6B" w:rsidRDefault="000B2D6B" w:rsidP="000B2D6B">
      <w:pPr>
        <w:pStyle w:val="ListParagraph"/>
        <w:jc w:val="both"/>
        <w:rPr>
          <w:sz w:val="20"/>
        </w:rPr>
      </w:pPr>
    </w:p>
    <w:p w14:paraId="4E16D7D8" w14:textId="791EFA08" w:rsidR="006045CF" w:rsidRPr="006045CF" w:rsidRDefault="00850854" w:rsidP="008941D4">
      <w:pPr>
        <w:pStyle w:val="ListParagraph"/>
        <w:numPr>
          <w:ilvl w:val="0"/>
          <w:numId w:val="13"/>
        </w:numPr>
        <w:ind w:left="993" w:hanging="284"/>
        <w:jc w:val="both"/>
        <w:rPr>
          <w:sz w:val="20"/>
        </w:rPr>
      </w:pPr>
      <w:r>
        <w:rPr>
          <w:rFonts w:eastAsia="Times New Roman"/>
          <w:sz w:val="20"/>
          <w:szCs w:val="20"/>
          <w:lang w:val="it-IT"/>
        </w:rPr>
        <w:t xml:space="preserve">Prodotti Fluke IG, disponibili all'indirizzo </w:t>
      </w:r>
      <w:hyperlink r:id="rId16" w:history="1">
        <w:r w:rsidR="004D69D7" w:rsidRPr="00A05288">
          <w:rPr>
            <w:rStyle w:val="Hyperlink"/>
            <w:rFonts w:eastAsia="Times New Roman"/>
            <w:sz w:val="20"/>
            <w:szCs w:val="20"/>
            <w:lang w:val="it-IT"/>
          </w:rPr>
          <w:t>https://www.fluke.com/en-gb-products</w:t>
        </w:r>
      </w:hyperlink>
      <w:r w:rsidR="004D69D7">
        <w:rPr>
          <w:rFonts w:eastAsia="Times New Roman"/>
          <w:sz w:val="20"/>
          <w:szCs w:val="20"/>
          <w:lang w:val="it-IT"/>
        </w:rPr>
        <w:t xml:space="preserve"> </w:t>
      </w:r>
      <w:r>
        <w:rPr>
          <w:rFonts w:eastAsia="Times New Roman"/>
          <w:sz w:val="20"/>
          <w:szCs w:val="20"/>
          <w:lang w:val="it-IT"/>
        </w:rPr>
        <w:t>;</w:t>
      </w:r>
    </w:p>
    <w:p w14:paraId="5D63454B" w14:textId="07994B0B" w:rsidR="006045CF" w:rsidRPr="006045CF" w:rsidRDefault="00850854" w:rsidP="008941D4">
      <w:pPr>
        <w:pStyle w:val="ListParagraph"/>
        <w:numPr>
          <w:ilvl w:val="0"/>
          <w:numId w:val="13"/>
        </w:numPr>
        <w:ind w:left="993" w:hanging="284"/>
        <w:jc w:val="both"/>
        <w:rPr>
          <w:sz w:val="20"/>
        </w:rPr>
      </w:pPr>
      <w:r>
        <w:rPr>
          <w:rFonts w:eastAsia="Times New Roman"/>
          <w:sz w:val="20"/>
          <w:szCs w:val="20"/>
          <w:lang w:val="it-IT"/>
        </w:rPr>
        <w:t xml:space="preserve">Prodotti Fluke Calibration, disponibili all'indirizzo </w:t>
      </w:r>
      <w:hyperlink r:id="rId17" w:history="1">
        <w:r w:rsidR="004D69D7" w:rsidRPr="00A05288">
          <w:rPr>
            <w:rStyle w:val="Hyperlink"/>
            <w:rFonts w:eastAsia="Times New Roman"/>
            <w:sz w:val="20"/>
            <w:szCs w:val="20"/>
            <w:lang w:val="it-IT"/>
          </w:rPr>
          <w:t>https://eu.flukecal.com/products</w:t>
        </w:r>
      </w:hyperlink>
      <w:r w:rsidR="004D69D7">
        <w:rPr>
          <w:rFonts w:eastAsia="Times New Roman"/>
          <w:sz w:val="20"/>
          <w:szCs w:val="20"/>
          <w:lang w:val="it-IT"/>
        </w:rPr>
        <w:t xml:space="preserve"> </w:t>
      </w:r>
      <w:r>
        <w:rPr>
          <w:rFonts w:eastAsia="Times New Roman"/>
          <w:sz w:val="20"/>
          <w:szCs w:val="20"/>
          <w:lang w:val="it-IT"/>
        </w:rPr>
        <w:t xml:space="preserve"> (ad eccezione di programmi di assistenza e servizi di calibrazione); </w:t>
      </w:r>
    </w:p>
    <w:p w14:paraId="4466478E" w14:textId="6CE3DF55" w:rsidR="006045CF" w:rsidRPr="006045CF" w:rsidRDefault="00850854" w:rsidP="008941D4">
      <w:pPr>
        <w:pStyle w:val="ListParagraph"/>
        <w:numPr>
          <w:ilvl w:val="0"/>
          <w:numId w:val="13"/>
        </w:numPr>
        <w:ind w:left="993" w:hanging="284"/>
        <w:jc w:val="both"/>
        <w:rPr>
          <w:sz w:val="20"/>
        </w:rPr>
      </w:pPr>
      <w:r>
        <w:rPr>
          <w:rFonts w:eastAsia="Times New Roman"/>
          <w:sz w:val="20"/>
          <w:szCs w:val="20"/>
          <w:lang w:val="it-IT"/>
        </w:rPr>
        <w:t xml:space="preserve">Prodotti Fluke Networks, disponibili all'indirizzo </w:t>
      </w:r>
      <w:hyperlink r:id="rId18" w:history="1">
        <w:r w:rsidR="004D69D7" w:rsidRPr="00A05288">
          <w:rPr>
            <w:rStyle w:val="Hyperlink"/>
            <w:rFonts w:eastAsia="Times New Roman"/>
            <w:sz w:val="20"/>
            <w:szCs w:val="20"/>
            <w:lang w:val="it-IT"/>
          </w:rPr>
          <w:t>www.flukenetworks.com</w:t>
        </w:r>
      </w:hyperlink>
      <w:r w:rsidR="004D69D7">
        <w:rPr>
          <w:rFonts w:eastAsia="Times New Roman"/>
          <w:sz w:val="20"/>
          <w:szCs w:val="20"/>
          <w:lang w:val="it-IT"/>
        </w:rPr>
        <w:t xml:space="preserve"> </w:t>
      </w:r>
      <w:r>
        <w:rPr>
          <w:rFonts w:eastAsia="Times New Roman"/>
          <w:sz w:val="20"/>
          <w:szCs w:val="20"/>
          <w:lang w:val="it-IT"/>
        </w:rPr>
        <w:t>.</w:t>
      </w:r>
    </w:p>
    <w:p w14:paraId="22D3EF59" w14:textId="52F676A1" w:rsidR="006045CF" w:rsidRPr="006045CF" w:rsidRDefault="00850854" w:rsidP="008941D4">
      <w:pPr>
        <w:pStyle w:val="ListParagraph"/>
        <w:numPr>
          <w:ilvl w:val="0"/>
          <w:numId w:val="13"/>
        </w:numPr>
        <w:ind w:left="993" w:hanging="284"/>
        <w:jc w:val="both"/>
        <w:rPr>
          <w:sz w:val="20"/>
        </w:rPr>
      </w:pPr>
      <w:r>
        <w:rPr>
          <w:rFonts w:eastAsia="Times New Roman"/>
          <w:sz w:val="20"/>
          <w:szCs w:val="20"/>
          <w:lang w:val="it-IT"/>
        </w:rPr>
        <w:t xml:space="preserve">Prodotti Beha Amprobe, disponibili all’indirizzo </w:t>
      </w:r>
      <w:hyperlink r:id="rId19" w:history="1">
        <w:r w:rsidR="004D69D7" w:rsidRPr="00A05288">
          <w:rPr>
            <w:rStyle w:val="Hyperlink"/>
            <w:rFonts w:eastAsia="Times New Roman"/>
            <w:sz w:val="20"/>
            <w:szCs w:val="20"/>
            <w:lang w:val="it-IT"/>
          </w:rPr>
          <w:t>www.beha-amprobe.com</w:t>
        </w:r>
      </w:hyperlink>
      <w:r w:rsidR="004D69D7">
        <w:rPr>
          <w:rFonts w:eastAsia="Times New Roman"/>
          <w:sz w:val="20"/>
          <w:szCs w:val="20"/>
          <w:lang w:val="it-IT"/>
        </w:rPr>
        <w:t xml:space="preserve"> </w:t>
      </w:r>
    </w:p>
    <w:p w14:paraId="7BF94599" w14:textId="77777777" w:rsidR="008941D4" w:rsidRDefault="008941D4" w:rsidP="006045CF">
      <w:pPr>
        <w:pStyle w:val="ListParagraph"/>
        <w:jc w:val="both"/>
        <w:rPr>
          <w:sz w:val="20"/>
        </w:rPr>
      </w:pPr>
    </w:p>
    <w:p w14:paraId="484C70E7" w14:textId="3A67CF7A" w:rsidR="000B2D6B" w:rsidRDefault="00850854" w:rsidP="006045CF">
      <w:pPr>
        <w:pStyle w:val="ListParagraph"/>
        <w:jc w:val="both"/>
        <w:rPr>
          <w:sz w:val="20"/>
        </w:rPr>
      </w:pPr>
      <w:r>
        <w:rPr>
          <w:rFonts w:eastAsia="Times New Roman"/>
          <w:sz w:val="20"/>
          <w:szCs w:val="20"/>
          <w:lang w:val="it-IT"/>
        </w:rPr>
        <w:t>L'elenco di cui sopra esclude tutti gli altri prodotti Fluke e i marchi correlati, inclusi, a titolo esemplificativo ma non esaustivo, Fluke Biomedical, Fluke Reliability Systems, Pomona, Comark, Irisys, eMaint software e Pacific Laser Systems.</w:t>
      </w:r>
    </w:p>
    <w:p w14:paraId="204EDC7E" w14:textId="77777777" w:rsidR="002A45D9" w:rsidRDefault="002A45D9" w:rsidP="006045CF">
      <w:pPr>
        <w:pStyle w:val="ListParagraph"/>
        <w:jc w:val="both"/>
        <w:rPr>
          <w:sz w:val="20"/>
        </w:rPr>
      </w:pPr>
    </w:p>
    <w:p w14:paraId="24E5917C" w14:textId="66EC3BD7" w:rsidR="002A45D9" w:rsidRPr="00332FA4" w:rsidRDefault="00850854" w:rsidP="006045CF">
      <w:pPr>
        <w:pStyle w:val="ListParagraph"/>
        <w:jc w:val="both"/>
        <w:rPr>
          <w:sz w:val="20"/>
        </w:rPr>
      </w:pPr>
      <w:r>
        <w:rPr>
          <w:rFonts w:eastAsia="Times New Roman"/>
          <w:sz w:val="20"/>
          <w:szCs w:val="20"/>
          <w:lang w:val="it-IT"/>
        </w:rPr>
        <w:t>I clienti idonei possono richiedere un (1) Omaggio a scelta, tra le opzioni riportate di seguito, del valore corrispondente al Livello di prezzo del Prodotto idoneo acquistato durante il Periodo del Programma (escluse IVA e altre imposte su vendite, spedizione/gestione e altre sovrattasse). Laddove le fatture riportassero altri prodotti in aggiunta ai Prodotti idonei, solo questi ultimi verranno presi in considerazione nella valutazione delle categorie di omaggi, come indicato di seguito.</w:t>
      </w:r>
    </w:p>
    <w:p w14:paraId="001074B9" w14:textId="284193E4" w:rsidR="008F2A3A" w:rsidRDefault="00644349" w:rsidP="00177E84">
      <w:pPr>
        <w:pStyle w:val="ListParagraph"/>
        <w:jc w:val="both"/>
        <w:rPr>
          <w:sz w:val="20"/>
        </w:rPr>
      </w:pPr>
      <w:r>
        <w:rPr>
          <w:noProof/>
        </w:rPr>
        <w:drawing>
          <wp:inline distT="0" distB="0" distL="0" distR="0" wp14:anchorId="76D347EC" wp14:editId="7C7958ED">
            <wp:extent cx="5943600" cy="2847975"/>
            <wp:effectExtent l="0" t="0" r="0" b="9525"/>
            <wp:docPr id="42435315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53155" name="Picture 1" descr="A screenshot of a computer&#10;&#10;Description automatically generated"/>
                    <pic:cNvPicPr/>
                  </pic:nvPicPr>
                  <pic:blipFill>
                    <a:blip r:embed="rId20"/>
                    <a:stretch>
                      <a:fillRect/>
                    </a:stretch>
                  </pic:blipFill>
                  <pic:spPr>
                    <a:xfrm>
                      <a:off x="0" y="0"/>
                      <a:ext cx="5943600" cy="2847975"/>
                    </a:xfrm>
                    <a:prstGeom prst="rect">
                      <a:avLst/>
                    </a:prstGeom>
                  </pic:spPr>
                </pic:pic>
              </a:graphicData>
            </a:graphic>
          </wp:inline>
        </w:drawing>
      </w:r>
    </w:p>
    <w:p w14:paraId="45221B0E" w14:textId="02CF0722" w:rsidR="000E4EDE" w:rsidRDefault="000E4EDE" w:rsidP="00177E84">
      <w:pPr>
        <w:pStyle w:val="ListParagraph"/>
        <w:jc w:val="both"/>
        <w:rPr>
          <w:sz w:val="20"/>
        </w:rPr>
      </w:pPr>
      <w:r w:rsidRPr="000E4EDE">
        <w:rPr>
          <w:sz w:val="20"/>
        </w:rPr>
        <w:t xml:space="preserve">Fluke </w:t>
      </w:r>
      <w:proofErr w:type="spellStart"/>
      <w:r w:rsidRPr="000E4EDE">
        <w:rPr>
          <w:sz w:val="20"/>
        </w:rPr>
        <w:t>si</w:t>
      </w:r>
      <w:proofErr w:type="spellEnd"/>
      <w:r w:rsidRPr="000E4EDE">
        <w:rPr>
          <w:sz w:val="20"/>
        </w:rPr>
        <w:t xml:space="preserve"> riserva il </w:t>
      </w:r>
      <w:proofErr w:type="spellStart"/>
      <w:r w:rsidRPr="000E4EDE">
        <w:rPr>
          <w:sz w:val="20"/>
        </w:rPr>
        <w:t>diritto</w:t>
      </w:r>
      <w:proofErr w:type="spellEnd"/>
      <w:r w:rsidRPr="000E4EDE">
        <w:rPr>
          <w:sz w:val="20"/>
        </w:rPr>
        <w:t xml:space="preserve"> di </w:t>
      </w:r>
      <w:proofErr w:type="spellStart"/>
      <w:r w:rsidRPr="000E4EDE">
        <w:rPr>
          <w:sz w:val="20"/>
        </w:rPr>
        <w:t>sostituire</w:t>
      </w:r>
      <w:proofErr w:type="spellEnd"/>
      <w:r w:rsidRPr="000E4EDE">
        <w:rPr>
          <w:sz w:val="20"/>
        </w:rPr>
        <w:t xml:space="preserve"> il regalo </w:t>
      </w:r>
      <w:proofErr w:type="spellStart"/>
      <w:r w:rsidRPr="000E4EDE">
        <w:rPr>
          <w:sz w:val="20"/>
        </w:rPr>
        <w:t>selezionato</w:t>
      </w:r>
      <w:proofErr w:type="spellEnd"/>
      <w:r w:rsidRPr="000E4EDE">
        <w:rPr>
          <w:sz w:val="20"/>
        </w:rPr>
        <w:t xml:space="preserve"> con un </w:t>
      </w:r>
      <w:proofErr w:type="spellStart"/>
      <w:r w:rsidRPr="000E4EDE">
        <w:rPr>
          <w:sz w:val="20"/>
        </w:rPr>
        <w:t>articolo</w:t>
      </w:r>
      <w:proofErr w:type="spellEnd"/>
      <w:r w:rsidRPr="000E4EDE">
        <w:rPr>
          <w:sz w:val="20"/>
        </w:rPr>
        <w:t xml:space="preserve"> alternativo di </w:t>
      </w:r>
      <w:proofErr w:type="spellStart"/>
      <w:r w:rsidRPr="000E4EDE">
        <w:rPr>
          <w:sz w:val="20"/>
        </w:rPr>
        <w:t>pari</w:t>
      </w:r>
      <w:proofErr w:type="spellEnd"/>
      <w:r w:rsidRPr="000E4EDE">
        <w:rPr>
          <w:sz w:val="20"/>
        </w:rPr>
        <w:t xml:space="preserve"> </w:t>
      </w:r>
      <w:proofErr w:type="spellStart"/>
      <w:r w:rsidRPr="000E4EDE">
        <w:rPr>
          <w:sz w:val="20"/>
        </w:rPr>
        <w:t>valore</w:t>
      </w:r>
      <w:proofErr w:type="spellEnd"/>
      <w:r w:rsidRPr="000E4EDE">
        <w:rPr>
          <w:sz w:val="20"/>
        </w:rPr>
        <w:t xml:space="preserve"> (a </w:t>
      </w:r>
      <w:proofErr w:type="spellStart"/>
      <w:r w:rsidRPr="000E4EDE">
        <w:rPr>
          <w:sz w:val="20"/>
        </w:rPr>
        <w:t>discrezione</w:t>
      </w:r>
      <w:proofErr w:type="spellEnd"/>
      <w:r w:rsidRPr="000E4EDE">
        <w:rPr>
          <w:sz w:val="20"/>
        </w:rPr>
        <w:t xml:space="preserve"> </w:t>
      </w:r>
      <w:proofErr w:type="spellStart"/>
      <w:r w:rsidRPr="000E4EDE">
        <w:rPr>
          <w:sz w:val="20"/>
        </w:rPr>
        <w:t>dello</w:t>
      </w:r>
      <w:proofErr w:type="spellEnd"/>
      <w:r w:rsidRPr="000E4EDE">
        <w:rPr>
          <w:sz w:val="20"/>
        </w:rPr>
        <w:t xml:space="preserve"> Sponsor), </w:t>
      </w:r>
      <w:proofErr w:type="spellStart"/>
      <w:r w:rsidRPr="000E4EDE">
        <w:rPr>
          <w:sz w:val="20"/>
        </w:rPr>
        <w:t>nel</w:t>
      </w:r>
      <w:proofErr w:type="spellEnd"/>
      <w:r w:rsidRPr="000E4EDE">
        <w:rPr>
          <w:sz w:val="20"/>
        </w:rPr>
        <w:t xml:space="preserve"> </w:t>
      </w:r>
      <w:proofErr w:type="spellStart"/>
      <w:r w:rsidRPr="000E4EDE">
        <w:rPr>
          <w:sz w:val="20"/>
        </w:rPr>
        <w:t>caso</w:t>
      </w:r>
      <w:proofErr w:type="spellEnd"/>
      <w:r w:rsidRPr="000E4EDE">
        <w:rPr>
          <w:sz w:val="20"/>
        </w:rPr>
        <w:t xml:space="preserve"> in cui il regalo </w:t>
      </w:r>
      <w:proofErr w:type="spellStart"/>
      <w:r w:rsidRPr="000E4EDE">
        <w:rPr>
          <w:sz w:val="20"/>
        </w:rPr>
        <w:t>originariamente</w:t>
      </w:r>
      <w:proofErr w:type="spellEnd"/>
      <w:r w:rsidRPr="000E4EDE">
        <w:rPr>
          <w:sz w:val="20"/>
        </w:rPr>
        <w:t xml:space="preserve"> </w:t>
      </w:r>
      <w:proofErr w:type="spellStart"/>
      <w:r w:rsidRPr="000E4EDE">
        <w:rPr>
          <w:sz w:val="20"/>
        </w:rPr>
        <w:t>selezionato</w:t>
      </w:r>
      <w:proofErr w:type="spellEnd"/>
      <w:r w:rsidRPr="000E4EDE">
        <w:rPr>
          <w:sz w:val="20"/>
        </w:rPr>
        <w:t xml:space="preserve"> non </w:t>
      </w:r>
      <w:proofErr w:type="spellStart"/>
      <w:r w:rsidRPr="000E4EDE">
        <w:rPr>
          <w:sz w:val="20"/>
        </w:rPr>
        <w:t>sia</w:t>
      </w:r>
      <w:proofErr w:type="spellEnd"/>
      <w:r w:rsidRPr="000E4EDE">
        <w:rPr>
          <w:sz w:val="20"/>
        </w:rPr>
        <w:t xml:space="preserve"> </w:t>
      </w:r>
      <w:proofErr w:type="spellStart"/>
      <w:r w:rsidRPr="000E4EDE">
        <w:rPr>
          <w:sz w:val="20"/>
        </w:rPr>
        <w:t>disponibile</w:t>
      </w:r>
      <w:proofErr w:type="spellEnd"/>
      <w:r w:rsidRPr="000E4EDE">
        <w:rPr>
          <w:sz w:val="20"/>
        </w:rPr>
        <w:t xml:space="preserve"> o </w:t>
      </w:r>
      <w:proofErr w:type="spellStart"/>
      <w:r w:rsidRPr="000E4EDE">
        <w:rPr>
          <w:sz w:val="20"/>
        </w:rPr>
        <w:t>sia</w:t>
      </w:r>
      <w:proofErr w:type="spellEnd"/>
      <w:r w:rsidRPr="000E4EDE">
        <w:rPr>
          <w:sz w:val="20"/>
        </w:rPr>
        <w:t xml:space="preserve"> </w:t>
      </w:r>
      <w:proofErr w:type="spellStart"/>
      <w:r w:rsidRPr="000E4EDE">
        <w:rPr>
          <w:sz w:val="20"/>
        </w:rPr>
        <w:t>soggetto</w:t>
      </w:r>
      <w:proofErr w:type="spellEnd"/>
      <w:r w:rsidRPr="000E4EDE">
        <w:rPr>
          <w:sz w:val="20"/>
        </w:rPr>
        <w:t xml:space="preserve"> a </w:t>
      </w:r>
      <w:proofErr w:type="gramStart"/>
      <w:r w:rsidRPr="000E4EDE">
        <w:rPr>
          <w:sz w:val="20"/>
        </w:rPr>
        <w:t>tempi</w:t>
      </w:r>
      <w:proofErr w:type="gramEnd"/>
      <w:r w:rsidRPr="000E4EDE">
        <w:rPr>
          <w:sz w:val="20"/>
        </w:rPr>
        <w:t xml:space="preserve"> di </w:t>
      </w:r>
      <w:proofErr w:type="spellStart"/>
      <w:r w:rsidRPr="000E4EDE">
        <w:rPr>
          <w:sz w:val="20"/>
        </w:rPr>
        <w:t>consegna</w:t>
      </w:r>
      <w:proofErr w:type="spellEnd"/>
      <w:r w:rsidRPr="000E4EDE">
        <w:rPr>
          <w:sz w:val="20"/>
        </w:rPr>
        <w:t xml:space="preserve"> </w:t>
      </w:r>
      <w:proofErr w:type="spellStart"/>
      <w:r w:rsidRPr="000E4EDE">
        <w:rPr>
          <w:sz w:val="20"/>
        </w:rPr>
        <w:t>prolungati</w:t>
      </w:r>
      <w:proofErr w:type="spellEnd"/>
      <w:r w:rsidRPr="000E4EDE">
        <w:rPr>
          <w:sz w:val="20"/>
        </w:rPr>
        <w:t xml:space="preserve">. I </w:t>
      </w:r>
      <w:proofErr w:type="spellStart"/>
      <w:r w:rsidRPr="000E4EDE">
        <w:rPr>
          <w:sz w:val="20"/>
        </w:rPr>
        <w:t>clienti</w:t>
      </w:r>
      <w:proofErr w:type="spellEnd"/>
      <w:r w:rsidRPr="000E4EDE">
        <w:rPr>
          <w:sz w:val="20"/>
        </w:rPr>
        <w:t xml:space="preserve"> </w:t>
      </w:r>
      <w:proofErr w:type="spellStart"/>
      <w:r w:rsidRPr="000E4EDE">
        <w:rPr>
          <w:sz w:val="20"/>
        </w:rPr>
        <w:t>saranno</w:t>
      </w:r>
      <w:proofErr w:type="spellEnd"/>
      <w:r w:rsidRPr="000E4EDE">
        <w:rPr>
          <w:sz w:val="20"/>
        </w:rPr>
        <w:t xml:space="preserve"> </w:t>
      </w:r>
      <w:proofErr w:type="spellStart"/>
      <w:r w:rsidRPr="000E4EDE">
        <w:rPr>
          <w:sz w:val="20"/>
        </w:rPr>
        <w:t>debitamente</w:t>
      </w:r>
      <w:proofErr w:type="spellEnd"/>
      <w:r w:rsidRPr="000E4EDE">
        <w:rPr>
          <w:sz w:val="20"/>
        </w:rPr>
        <w:t xml:space="preserve"> </w:t>
      </w:r>
      <w:proofErr w:type="spellStart"/>
      <w:r w:rsidRPr="000E4EDE">
        <w:rPr>
          <w:sz w:val="20"/>
        </w:rPr>
        <w:t>informati</w:t>
      </w:r>
      <w:proofErr w:type="spellEnd"/>
      <w:r w:rsidRPr="000E4EDE">
        <w:rPr>
          <w:sz w:val="20"/>
        </w:rPr>
        <w:t xml:space="preserve"> di </w:t>
      </w:r>
      <w:proofErr w:type="spellStart"/>
      <w:r w:rsidRPr="000E4EDE">
        <w:rPr>
          <w:sz w:val="20"/>
        </w:rPr>
        <w:t>tali</w:t>
      </w:r>
      <w:proofErr w:type="spellEnd"/>
      <w:r w:rsidRPr="000E4EDE">
        <w:rPr>
          <w:sz w:val="20"/>
        </w:rPr>
        <w:t xml:space="preserve"> </w:t>
      </w:r>
      <w:proofErr w:type="spellStart"/>
      <w:r w:rsidRPr="000E4EDE">
        <w:rPr>
          <w:sz w:val="20"/>
        </w:rPr>
        <w:t>cambiamenti</w:t>
      </w:r>
      <w:proofErr w:type="spellEnd"/>
      <w:r w:rsidRPr="000E4EDE">
        <w:rPr>
          <w:sz w:val="20"/>
        </w:rPr>
        <w:t>.</w:t>
      </w:r>
    </w:p>
    <w:p w14:paraId="386A4FDE" w14:textId="77777777" w:rsidR="008F2A3A" w:rsidRPr="000A57BD" w:rsidRDefault="008F2A3A" w:rsidP="00177E84">
      <w:pPr>
        <w:pStyle w:val="ListParagraph"/>
        <w:jc w:val="both"/>
        <w:rPr>
          <w:sz w:val="20"/>
        </w:rPr>
      </w:pPr>
    </w:p>
    <w:p w14:paraId="2B2FDD51" w14:textId="702E9E60" w:rsidR="000A4866" w:rsidRPr="006D63B1" w:rsidRDefault="00850854" w:rsidP="00F805DE">
      <w:pPr>
        <w:pStyle w:val="ListParagraph"/>
        <w:numPr>
          <w:ilvl w:val="1"/>
          <w:numId w:val="14"/>
        </w:numPr>
        <w:jc w:val="both"/>
        <w:rPr>
          <w:sz w:val="20"/>
        </w:rPr>
      </w:pPr>
      <w:r>
        <w:rPr>
          <w:rFonts w:eastAsia="Times New Roman"/>
          <w:sz w:val="20"/>
          <w:szCs w:val="20"/>
          <w:lang w:val="it-IT"/>
        </w:rPr>
        <w:t xml:space="preserve">Registra la richiesta compilando il modulo di registrazione online relativo alla Promozione </w:t>
      </w:r>
      <w:r w:rsidRPr="004D69D7">
        <w:rPr>
          <w:rFonts w:eastAsia="Times New Roman"/>
          <w:sz w:val="20"/>
          <w:szCs w:val="20"/>
          <w:lang w:val="it-IT"/>
        </w:rPr>
        <w:t xml:space="preserve">all’indirizzo </w:t>
      </w:r>
      <w:hyperlink r:id="rId21" w:history="1">
        <w:r w:rsidR="000E4EDE" w:rsidRPr="0031558E">
          <w:rPr>
            <w:rStyle w:val="Hyperlink"/>
            <w:rFonts w:eastAsia="Times New Roman"/>
            <w:sz w:val="20"/>
            <w:szCs w:val="20"/>
            <w:lang w:val="it-IT"/>
          </w:rPr>
          <w:t>www.fluke.it/freegift</w:t>
        </w:r>
      </w:hyperlink>
      <w:r w:rsidRPr="004D69D7">
        <w:rPr>
          <w:rFonts w:eastAsia="Times New Roman"/>
          <w:sz w:val="20"/>
          <w:szCs w:val="20"/>
          <w:lang w:val="it-IT"/>
        </w:rPr>
        <w:t>. Il modulo della Promozione deve essere compilato per intero e inviato insieme a una scansione chiara</w:t>
      </w:r>
      <w:r>
        <w:rPr>
          <w:rFonts w:eastAsia="Times New Roman"/>
          <w:sz w:val="20"/>
          <w:szCs w:val="20"/>
          <w:lang w:val="it-IT"/>
        </w:rPr>
        <w:t xml:space="preserve"> e leggibile della fattura che riporti almeno un (1) Acquisto idoneo acquistato durante il Periodo del Programma, come prova di acquisto. Distinte di </w:t>
      </w:r>
      <w:r>
        <w:rPr>
          <w:rFonts w:eastAsia="Times New Roman"/>
          <w:sz w:val="20"/>
          <w:szCs w:val="20"/>
          <w:lang w:val="it-IT"/>
        </w:rPr>
        <w:lastRenderedPageBreak/>
        <w:t>imballaggio, ordini di acquisto e conferme dell’ordine non sono prove di acquisto. Le fatture emesse in una data che non rientra nel Periodo del Programma non sono valide e non saranno prese in considerazione. Oltre alla prova di acquisto, è necessario indicare l’indirizzo del cliente per ottenere l’Omaggio.</w:t>
      </w:r>
    </w:p>
    <w:p w14:paraId="4BAE8F34" w14:textId="77777777" w:rsidR="00455ABE" w:rsidRPr="00B929C2" w:rsidRDefault="00455ABE" w:rsidP="00464ABC">
      <w:pPr>
        <w:pStyle w:val="ListParagraph"/>
        <w:jc w:val="both"/>
        <w:rPr>
          <w:sz w:val="20"/>
        </w:rPr>
      </w:pPr>
    </w:p>
    <w:p w14:paraId="323451E1" w14:textId="194C9050" w:rsidR="004B7015" w:rsidRPr="00464ABC" w:rsidRDefault="00850854" w:rsidP="00F805DE">
      <w:pPr>
        <w:pStyle w:val="ListParagraph"/>
        <w:numPr>
          <w:ilvl w:val="1"/>
          <w:numId w:val="14"/>
        </w:numPr>
        <w:jc w:val="both"/>
        <w:rPr>
          <w:sz w:val="20"/>
        </w:rPr>
      </w:pPr>
      <w:r>
        <w:rPr>
          <w:rFonts w:eastAsia="Times New Roman"/>
          <w:sz w:val="20"/>
          <w:szCs w:val="20"/>
          <w:lang w:val="it-IT"/>
        </w:rPr>
        <w:t>I clienti dovranno selezionare l'Omaggio scelto nel modulo di registrazione online in base al Livello di importo corrispondente sulla fattura.</w:t>
      </w:r>
    </w:p>
    <w:p w14:paraId="1F6DBF72" w14:textId="77777777" w:rsidR="00346B02" w:rsidRPr="00464ABC" w:rsidRDefault="00346B02" w:rsidP="00464ABC">
      <w:pPr>
        <w:pStyle w:val="ListParagraph"/>
        <w:jc w:val="both"/>
        <w:rPr>
          <w:sz w:val="20"/>
        </w:rPr>
      </w:pPr>
    </w:p>
    <w:p w14:paraId="7F9E017D" w14:textId="6F36ABE7" w:rsidR="00A741E1" w:rsidRPr="00850854" w:rsidRDefault="00850854" w:rsidP="00F805DE">
      <w:pPr>
        <w:pStyle w:val="ListParagraph"/>
        <w:numPr>
          <w:ilvl w:val="1"/>
          <w:numId w:val="14"/>
        </w:numPr>
        <w:jc w:val="both"/>
        <w:rPr>
          <w:kern w:val="2"/>
          <w:sz w:val="20"/>
          <w:lang w:val="it-IT"/>
        </w:rPr>
      </w:pPr>
      <w:r>
        <w:rPr>
          <w:rFonts w:eastAsia="Times New Roman"/>
          <w:kern w:val="2"/>
          <w:sz w:val="20"/>
          <w:szCs w:val="20"/>
          <w:lang w:val="it-IT"/>
        </w:rPr>
        <w:t>Tenere presente che le fatture non sono cumulabili e non possono essere utilizzate più di una volta. Laddove le fatture riportassero altri prodotti Fluke, in aggiunta agli Acquisti idonei, nella valutazione dell’idoneità alla ricezione dell’omaggio, verranno presi in considerazione solamente gli importi relativi agli Acquisti idonei riportati in tali fatture.</w:t>
      </w:r>
    </w:p>
    <w:p w14:paraId="6ED58CD9" w14:textId="77777777" w:rsidR="000A4866" w:rsidRPr="00850854" w:rsidRDefault="000A4866" w:rsidP="000A4866">
      <w:pPr>
        <w:pStyle w:val="ListParagraph"/>
        <w:rPr>
          <w:rFonts w:cstheme="minorHAnsi"/>
          <w:sz w:val="20"/>
          <w:szCs w:val="18"/>
          <w:lang w:val="it-IT"/>
        </w:rPr>
      </w:pPr>
    </w:p>
    <w:p w14:paraId="51124518" w14:textId="08569983" w:rsidR="00F5105E" w:rsidRPr="00850854" w:rsidRDefault="00850854" w:rsidP="00F805DE">
      <w:pPr>
        <w:pStyle w:val="ListParagraph"/>
        <w:numPr>
          <w:ilvl w:val="1"/>
          <w:numId w:val="14"/>
        </w:numPr>
        <w:jc w:val="both"/>
        <w:rPr>
          <w:sz w:val="20"/>
          <w:lang w:val="it-IT"/>
        </w:rPr>
      </w:pPr>
      <w:r>
        <w:rPr>
          <w:rFonts w:eastAsia="Times New Roman" w:cs="Calibri"/>
          <w:sz w:val="20"/>
          <w:szCs w:val="20"/>
          <w:lang w:val="it-IT"/>
        </w:rPr>
        <w:t xml:space="preserve">Lo Sponsor accetterà le richieste valide fino al </w:t>
      </w:r>
      <w:r w:rsidR="000E4EDE">
        <w:rPr>
          <w:rFonts w:eastAsia="Times New Roman" w:cs="Calibri"/>
          <w:b/>
          <w:bCs/>
          <w:sz w:val="20"/>
          <w:szCs w:val="20"/>
          <w:lang w:val="it-IT"/>
        </w:rPr>
        <w:t xml:space="preserve">31-08-2025 </w:t>
      </w:r>
      <w:r>
        <w:rPr>
          <w:rFonts w:eastAsia="Times New Roman" w:cs="Calibri"/>
          <w:sz w:val="20"/>
          <w:szCs w:val="20"/>
          <w:lang w:val="it-IT"/>
        </w:rPr>
        <w:t>(</w:t>
      </w:r>
      <w:r>
        <w:rPr>
          <w:rFonts w:eastAsia="Times New Roman"/>
          <w:sz w:val="20"/>
          <w:szCs w:val="20"/>
          <w:lang w:val="it-IT"/>
        </w:rPr>
        <w:t>“</w:t>
      </w:r>
      <w:r>
        <w:rPr>
          <w:rFonts w:eastAsia="Times New Roman" w:cs="Calibri"/>
          <w:b/>
          <w:bCs/>
          <w:sz w:val="20"/>
          <w:szCs w:val="20"/>
          <w:lang w:val="it-IT"/>
        </w:rPr>
        <w:t>Termine ultimo per le richieste</w:t>
      </w:r>
      <w:r>
        <w:rPr>
          <w:rFonts w:eastAsia="Times New Roman"/>
          <w:sz w:val="20"/>
          <w:szCs w:val="20"/>
          <w:lang w:val="it-IT"/>
        </w:rPr>
        <w:t>”</w:t>
      </w:r>
      <w:r>
        <w:rPr>
          <w:rFonts w:eastAsia="Times New Roman" w:cs="Calibri"/>
          <w:sz w:val="20"/>
          <w:szCs w:val="20"/>
          <w:lang w:val="it-IT"/>
        </w:rPr>
        <w:t xml:space="preserve">).  Le richieste registrate dopo tale data non saranno ritenute valide. </w:t>
      </w:r>
    </w:p>
    <w:p w14:paraId="2AA3E8DF" w14:textId="77777777" w:rsidR="000A4866" w:rsidRPr="00850854" w:rsidRDefault="000A4866" w:rsidP="000A4866">
      <w:pPr>
        <w:pStyle w:val="ListParagraph"/>
        <w:jc w:val="both"/>
        <w:rPr>
          <w:sz w:val="20"/>
          <w:szCs w:val="20"/>
          <w:lang w:val="it-IT"/>
        </w:rPr>
      </w:pPr>
    </w:p>
    <w:p w14:paraId="2AFAE8D2" w14:textId="68516D3E" w:rsidR="00F5105E" w:rsidRPr="006D63B1" w:rsidRDefault="00850854" w:rsidP="00F805DE">
      <w:pPr>
        <w:pStyle w:val="ListParagraph"/>
        <w:numPr>
          <w:ilvl w:val="1"/>
          <w:numId w:val="14"/>
        </w:numPr>
        <w:jc w:val="both"/>
        <w:rPr>
          <w:sz w:val="20"/>
          <w:szCs w:val="20"/>
        </w:rPr>
      </w:pPr>
      <w:r>
        <w:rPr>
          <w:rFonts w:eastAsia="Times New Roman"/>
          <w:sz w:val="20"/>
          <w:szCs w:val="20"/>
          <w:lang w:val="it-IT"/>
        </w:rPr>
        <w:t>Lo Sponsor</w:t>
      </w:r>
      <w:r>
        <w:rPr>
          <w:rFonts w:eastAsia="Times New Roman" w:cs="Calibri"/>
          <w:sz w:val="20"/>
          <w:szCs w:val="20"/>
          <w:lang w:val="it-IT"/>
        </w:rPr>
        <w:t xml:space="preserve"> </w:t>
      </w:r>
      <w:r>
        <w:rPr>
          <w:rFonts w:eastAsia="Times New Roman"/>
          <w:sz w:val="20"/>
          <w:szCs w:val="20"/>
          <w:lang w:val="it-IT"/>
        </w:rPr>
        <w:t xml:space="preserve">o i suoi agenti </w:t>
      </w:r>
      <w:r>
        <w:rPr>
          <w:rFonts w:eastAsia="Times New Roman" w:cs="Calibri"/>
          <w:sz w:val="20"/>
          <w:szCs w:val="20"/>
          <w:lang w:val="it-IT"/>
        </w:rPr>
        <w:t>verificheranno le richieste presentate</w:t>
      </w:r>
      <w:r>
        <w:rPr>
          <w:rFonts w:eastAsia="Times New Roman"/>
          <w:sz w:val="20"/>
          <w:szCs w:val="20"/>
          <w:lang w:val="it-IT"/>
        </w:rPr>
        <w:t xml:space="preserve"> insieme alle </w:t>
      </w:r>
      <w:r>
        <w:rPr>
          <w:rFonts w:eastAsia="Times New Roman" w:cs="Calibri"/>
          <w:sz w:val="20"/>
          <w:szCs w:val="20"/>
          <w:lang w:val="it-IT"/>
        </w:rPr>
        <w:t>scansioni delle fatture fornite. In caso di incongruenze nel modulo, lo Sponsor ha la facoltà, a suo insindacabile giudizio, di determinare l’idoneità o meno del cliente a ricevere il prodotto Omaggio. In caso lo Sponsor ritenga che la richiesta del cliente non soddisfi questi termini e le condizioni o non sia altrimenti valida, il cliente riceverà una notifica a riguardo.</w:t>
      </w:r>
    </w:p>
    <w:p w14:paraId="372FE9BB" w14:textId="77777777" w:rsidR="000A4866" w:rsidRPr="006D63B1" w:rsidRDefault="000A4866" w:rsidP="000A4866">
      <w:pPr>
        <w:pStyle w:val="ListParagraph"/>
        <w:jc w:val="both"/>
        <w:rPr>
          <w:sz w:val="20"/>
          <w:szCs w:val="20"/>
        </w:rPr>
      </w:pPr>
    </w:p>
    <w:p w14:paraId="54701A51" w14:textId="0C6A752F" w:rsidR="00F5105E" w:rsidRPr="006D63B1" w:rsidRDefault="00850854" w:rsidP="00F805DE">
      <w:pPr>
        <w:pStyle w:val="ListParagraph"/>
        <w:numPr>
          <w:ilvl w:val="1"/>
          <w:numId w:val="14"/>
        </w:numPr>
        <w:jc w:val="both"/>
        <w:rPr>
          <w:sz w:val="20"/>
          <w:szCs w:val="20"/>
        </w:rPr>
      </w:pPr>
      <w:r>
        <w:rPr>
          <w:rFonts w:eastAsia="Times New Roman" w:cs="Calibri"/>
          <w:sz w:val="20"/>
          <w:szCs w:val="20"/>
          <w:lang w:val="it-IT"/>
        </w:rPr>
        <w:t xml:space="preserve">Entro </w:t>
      </w:r>
      <w:r w:rsidR="002A1FF9">
        <w:rPr>
          <w:rFonts w:eastAsia="Times New Roman" w:cs="Calibri"/>
          <w:sz w:val="20"/>
          <w:szCs w:val="20"/>
          <w:lang w:val="it-IT"/>
        </w:rPr>
        <w:t>60-75</w:t>
      </w:r>
      <w:r>
        <w:rPr>
          <w:rFonts w:eastAsia="Times New Roman" w:cs="Calibri"/>
          <w:sz w:val="20"/>
          <w:szCs w:val="20"/>
          <w:lang w:val="it-IT"/>
        </w:rPr>
        <w:t xml:space="preserve"> giorni dal Termine ultimo per le richieste, lo Sponsor, o suo rappresentante, spedirà l’Omaggio all’indirizzo </w:t>
      </w:r>
      <w:r>
        <w:rPr>
          <w:rFonts w:eastAsia="Times New Roman"/>
          <w:sz w:val="20"/>
          <w:szCs w:val="20"/>
          <w:lang w:val="it-IT"/>
        </w:rPr>
        <w:t>indicato</w:t>
      </w:r>
      <w:r>
        <w:rPr>
          <w:rFonts w:eastAsia="Times New Roman" w:cs="Calibri"/>
          <w:sz w:val="20"/>
          <w:szCs w:val="20"/>
          <w:lang w:val="it-IT"/>
        </w:rPr>
        <w:t xml:space="preserve"> dal cliente.</w:t>
      </w:r>
    </w:p>
    <w:p w14:paraId="06732B85" w14:textId="77777777" w:rsidR="000A4866" w:rsidRPr="006D63B1" w:rsidRDefault="000A4866" w:rsidP="000A4866">
      <w:pPr>
        <w:pStyle w:val="ListParagraph"/>
        <w:jc w:val="both"/>
        <w:rPr>
          <w:sz w:val="20"/>
          <w:szCs w:val="20"/>
        </w:rPr>
      </w:pPr>
    </w:p>
    <w:p w14:paraId="3482C733" w14:textId="278968A3" w:rsidR="00F5105E" w:rsidRPr="006D63B1" w:rsidRDefault="00850854" w:rsidP="00F805DE">
      <w:pPr>
        <w:pStyle w:val="ListParagraph"/>
        <w:numPr>
          <w:ilvl w:val="1"/>
          <w:numId w:val="14"/>
        </w:numPr>
        <w:jc w:val="both"/>
        <w:rPr>
          <w:sz w:val="20"/>
          <w:szCs w:val="20"/>
        </w:rPr>
      </w:pPr>
      <w:r>
        <w:rPr>
          <w:rFonts w:eastAsia="Times New Roman" w:cs="Calibri"/>
          <w:sz w:val="20"/>
          <w:szCs w:val="20"/>
          <w:lang w:val="it-IT"/>
        </w:rPr>
        <w:t xml:space="preserve">In </w:t>
      </w:r>
      <w:r>
        <w:rPr>
          <w:rFonts w:eastAsia="Times New Roman"/>
          <w:sz w:val="20"/>
          <w:szCs w:val="20"/>
          <w:lang w:val="it-IT"/>
        </w:rPr>
        <w:t>caso</w:t>
      </w:r>
      <w:r>
        <w:rPr>
          <w:rFonts w:eastAsia="Times New Roman" w:cs="Calibri"/>
          <w:sz w:val="20"/>
          <w:szCs w:val="20"/>
          <w:lang w:val="it-IT"/>
        </w:rPr>
        <w:t xml:space="preserve"> di mancata ricezione dell’</w:t>
      </w:r>
      <w:r>
        <w:rPr>
          <w:rFonts w:eastAsia="Times New Roman"/>
          <w:sz w:val="20"/>
          <w:szCs w:val="20"/>
          <w:lang w:val="it-IT"/>
        </w:rPr>
        <w:t>Omaggio</w:t>
      </w:r>
      <w:r>
        <w:rPr>
          <w:rFonts w:eastAsia="Times New Roman" w:cs="Calibri"/>
          <w:sz w:val="20"/>
          <w:szCs w:val="20"/>
          <w:lang w:val="it-IT"/>
        </w:rPr>
        <w:t xml:space="preserve">, il cliente dovrà informare lo Sponsor quanto prima, e comunque non oltre il </w:t>
      </w:r>
      <w:r>
        <w:rPr>
          <w:rFonts w:eastAsia="Times New Roman" w:cs="Calibri"/>
          <w:b/>
          <w:bCs/>
          <w:sz w:val="20"/>
          <w:szCs w:val="20"/>
          <w:lang w:val="it-IT"/>
        </w:rPr>
        <w:t>3</w:t>
      </w:r>
      <w:r w:rsidR="000E4EDE">
        <w:rPr>
          <w:rFonts w:eastAsia="Times New Roman" w:cs="Calibri"/>
          <w:b/>
          <w:bCs/>
          <w:sz w:val="20"/>
          <w:szCs w:val="20"/>
          <w:lang w:val="it-IT"/>
        </w:rPr>
        <w:t>0-09-2025</w:t>
      </w:r>
      <w:r>
        <w:rPr>
          <w:rFonts w:eastAsia="Times New Roman" w:cs="Calibri"/>
          <w:sz w:val="20"/>
          <w:szCs w:val="20"/>
          <w:lang w:val="it-IT"/>
        </w:rPr>
        <w:t>. Le comunicazioni di mancata ricezione pervenute dopo questa data saranno prese in considerazione a esclusiva discrezione dello Sponsor.</w:t>
      </w:r>
    </w:p>
    <w:p w14:paraId="03270FB4" w14:textId="77777777" w:rsidR="006D63B1" w:rsidRPr="006D63B1" w:rsidRDefault="006D63B1" w:rsidP="006D63B1">
      <w:pPr>
        <w:pStyle w:val="ListParagraph"/>
        <w:rPr>
          <w:sz w:val="20"/>
          <w:szCs w:val="20"/>
        </w:rPr>
      </w:pPr>
    </w:p>
    <w:p w14:paraId="1782774A" w14:textId="0BD5E68B" w:rsidR="006D63B1" w:rsidRPr="006D63B1" w:rsidRDefault="00850854" w:rsidP="006D63B1">
      <w:pPr>
        <w:pStyle w:val="ListParagraph"/>
        <w:ind w:left="284"/>
        <w:jc w:val="both"/>
        <w:rPr>
          <w:sz w:val="20"/>
          <w:szCs w:val="20"/>
        </w:rPr>
      </w:pPr>
      <w:r>
        <w:rPr>
          <w:rFonts w:eastAsia="Times New Roman"/>
          <w:sz w:val="20"/>
          <w:szCs w:val="20"/>
          <w:lang w:val="it-IT"/>
        </w:rPr>
        <w:t>Gli Omaggi devono essere spediti all’indirizzo fisico del cliente.  Gli Omaggi non possono essere spediti a caselle postali, società di spedizione o distributori.  Le richieste di Omaggi sono soggette a ulteriore verifica a esclusiva discrezione dello Sponsor e, se lo Sponsor identifica una frode o un’inosservanza dei presenti termini e condizioni, lo Sponsor, a sua esclusiva discrezione, può rendere tale richiesta di Omaggi nulla, nel qual caso non sarà onorata.  Lo Sponsor può richiedere ai clienti di fornire un’ulteriore prova di acquisto, inclusi, a titolo esemplificativo ma non esaustivo, i codici del vettore fisico dall’imballaggio, i numeri di serie del prodotto o la prova di consegna.</w:t>
      </w:r>
    </w:p>
    <w:p w14:paraId="3A72A1FA" w14:textId="77777777" w:rsidR="00AE1F95" w:rsidRPr="006D63B1" w:rsidRDefault="00AE1F95" w:rsidP="000A4866">
      <w:pPr>
        <w:pStyle w:val="OutlineL2"/>
        <w:numPr>
          <w:ilvl w:val="0"/>
          <w:numId w:val="0"/>
        </w:numPr>
        <w:ind w:left="270"/>
        <w:contextualSpacing/>
        <w:rPr>
          <w:rFonts w:ascii="Times New Roman" w:hAnsi="Times New Roman"/>
          <w:color w:val="auto"/>
          <w:sz w:val="20"/>
        </w:rPr>
      </w:pPr>
    </w:p>
    <w:p w14:paraId="1A2B5DCC" w14:textId="4CE9D3AC" w:rsidR="00227B20" w:rsidRPr="007D4F4E" w:rsidRDefault="00850854" w:rsidP="006D63B1">
      <w:pPr>
        <w:pStyle w:val="BodyText"/>
        <w:spacing w:after="0"/>
        <w:ind w:left="284"/>
        <w:jc w:val="both"/>
        <w:rPr>
          <w:rFonts w:ascii="Times New Roman" w:hAnsi="Times New Roman"/>
          <w:sz w:val="20"/>
        </w:rPr>
      </w:pPr>
      <w:r>
        <w:rPr>
          <w:rFonts w:ascii="Times New Roman" w:eastAsia="Times New Roman" w:hAnsi="Times New Roman"/>
          <w:bCs/>
          <w:sz w:val="20"/>
          <w:szCs w:val="20"/>
          <w:lang w:val="it-IT"/>
        </w:rPr>
        <w:t>L’Omaggio sarà spedito separatamente dall’Acquisto idoneo. L’Acquisto idoneo sarà spedito dal distributore autorizzato da cui è stato acquistato.</w:t>
      </w:r>
    </w:p>
    <w:p w14:paraId="3B68E56B" w14:textId="77777777" w:rsidR="00080806" w:rsidRDefault="00080806" w:rsidP="006D63B1">
      <w:pPr>
        <w:pStyle w:val="BodyText"/>
        <w:spacing w:after="0"/>
        <w:ind w:left="284"/>
        <w:jc w:val="both"/>
        <w:rPr>
          <w:rFonts w:ascii="Times New Roman" w:hAnsi="Times New Roman"/>
          <w:bCs/>
          <w:sz w:val="20"/>
          <w:szCs w:val="20"/>
        </w:rPr>
      </w:pPr>
    </w:p>
    <w:p w14:paraId="009F1A76" w14:textId="4D0D7B13" w:rsidR="00080806" w:rsidRPr="006D63B1" w:rsidRDefault="00850854" w:rsidP="006D63B1">
      <w:pPr>
        <w:pStyle w:val="BodyText"/>
        <w:spacing w:after="0"/>
        <w:ind w:left="284"/>
        <w:jc w:val="both"/>
        <w:rPr>
          <w:rFonts w:ascii="Times New Roman" w:hAnsi="Times New Roman"/>
          <w:sz w:val="20"/>
          <w:szCs w:val="20"/>
        </w:rPr>
      </w:pPr>
      <w:r>
        <w:rPr>
          <w:rFonts w:ascii="Times New Roman" w:eastAsia="Times New Roman" w:hAnsi="Times New Roman"/>
          <w:sz w:val="20"/>
          <w:szCs w:val="20"/>
          <w:lang w:val="it-IT"/>
        </w:rPr>
        <w:t>La Promozione non è cumulabile con altri prodotti o qualsiasi altra promozione, offerta, sconto o voucher. L'Omaggio non può essere compensato con altri servizi o acquisti, o combinato con qualsiasi altra offerta speciale, promozione o contratto.</w:t>
      </w:r>
    </w:p>
    <w:p w14:paraId="44E30062" w14:textId="77777777" w:rsidR="00F5105E" w:rsidRDefault="00F5105E" w:rsidP="006D63B1">
      <w:pPr>
        <w:pStyle w:val="BodyText"/>
        <w:spacing w:after="0"/>
        <w:ind w:left="284"/>
        <w:rPr>
          <w:rFonts w:ascii="Times New Roman" w:hAnsi="Times New Roman"/>
          <w:sz w:val="20"/>
          <w:szCs w:val="20"/>
        </w:rPr>
      </w:pPr>
    </w:p>
    <w:p w14:paraId="04924826" w14:textId="163AC638" w:rsidR="004D69D7" w:rsidRPr="004D69D7" w:rsidRDefault="004D69D7" w:rsidP="004D69D7">
      <w:pPr>
        <w:pStyle w:val="ListParagraph"/>
        <w:numPr>
          <w:ilvl w:val="0"/>
          <w:numId w:val="14"/>
        </w:numPr>
        <w:ind w:left="360"/>
        <w:jc w:val="both"/>
        <w:rPr>
          <w:sz w:val="20"/>
        </w:rPr>
      </w:pPr>
      <w:r w:rsidRPr="004D69D7">
        <w:rPr>
          <w:rFonts w:eastAsia="Times New Roman"/>
          <w:b/>
          <w:bCs/>
          <w:sz w:val="20"/>
          <w:szCs w:val="20"/>
          <w:lang w:val="it-IT"/>
        </w:rPr>
        <w:t>Dichiarazione di non responsabilità</w:t>
      </w:r>
      <w:r w:rsidRPr="004D69D7">
        <w:rPr>
          <w:rFonts w:eastAsia="Times New Roman"/>
          <w:sz w:val="20"/>
          <w:szCs w:val="20"/>
          <w:lang w:val="it-IT"/>
        </w:rPr>
        <w:t>.  Gli Sponsor e le relative consociate, sussidiarie e affiliate, nonché i relativi dirigenti, funzionari, consulenti professionisti, rappresentanti, dipendenti e agenti (collettivamente le “</w:t>
      </w:r>
      <w:r w:rsidRPr="004D69D7">
        <w:rPr>
          <w:rFonts w:eastAsia="Times New Roman"/>
          <w:b/>
          <w:bCs/>
          <w:i/>
          <w:iCs/>
          <w:sz w:val="20"/>
          <w:szCs w:val="20"/>
          <w:lang w:val="it-IT"/>
        </w:rPr>
        <w:t>Parti esonerate</w:t>
      </w:r>
      <w:r w:rsidRPr="004D69D7">
        <w:rPr>
          <w:rFonts w:eastAsia="Times New Roman"/>
          <w:sz w:val="20"/>
          <w:szCs w:val="20"/>
          <w:lang w:val="it-IT"/>
        </w:rPr>
        <w:t>”) declinano qualsiasi responsabilità in relazione a: (a) qualsiasi trasmissione o richiesta di acquisto pervenuta in ritardo, persa, non inviata correttamente, confusa, distorta o danneggiata; (b) malfunzionamenti o guasti telefonici, elettronici, hardware, software, di rete, Internet o altri computer o comunicazioni che esulano dal ragionevole controllo dello Sponsor o delle Parti esonerate; (c) eventuali interruzioni, danni o perdite della Promozione causati da eventi fuori dal ragionevole controllo dello Sponsor o dall’intervento di persone non autorizzate; o (d) eventuali errori tipografici o di stampa in qualsiasi materiale associato alla Promozione.</w:t>
      </w:r>
    </w:p>
    <w:p w14:paraId="7AE68423" w14:textId="77777777" w:rsidR="004D69D7" w:rsidRPr="006D63B1" w:rsidRDefault="004D69D7" w:rsidP="004D69D7">
      <w:pPr>
        <w:pStyle w:val="BodyText"/>
        <w:spacing w:after="0"/>
        <w:ind w:left="270"/>
        <w:rPr>
          <w:rFonts w:ascii="Times New Roman" w:hAnsi="Times New Roman"/>
          <w:sz w:val="20"/>
          <w:szCs w:val="20"/>
        </w:rPr>
      </w:pPr>
    </w:p>
    <w:p w14:paraId="7868249A" w14:textId="77777777" w:rsidR="004D69D7" w:rsidRPr="006D63B1" w:rsidRDefault="004D69D7" w:rsidP="004D69D7">
      <w:pPr>
        <w:pStyle w:val="ListParagraph"/>
        <w:numPr>
          <w:ilvl w:val="0"/>
          <w:numId w:val="14"/>
        </w:numPr>
        <w:ind w:left="284" w:hanging="284"/>
        <w:jc w:val="both"/>
        <w:rPr>
          <w:sz w:val="20"/>
        </w:rPr>
      </w:pPr>
      <w:r>
        <w:rPr>
          <w:rFonts w:eastAsia="Times New Roman"/>
          <w:b/>
          <w:bCs/>
          <w:sz w:val="20"/>
          <w:szCs w:val="20"/>
          <w:lang w:val="it-IT"/>
        </w:rPr>
        <w:t>Esonero da responsabilità e indennizzo</w:t>
      </w:r>
      <w:r>
        <w:rPr>
          <w:rFonts w:eastAsia="Times New Roman"/>
          <w:sz w:val="20"/>
          <w:szCs w:val="20"/>
          <w:lang w:val="it-IT"/>
        </w:rPr>
        <w:t xml:space="preserve">. Salvo ove diversamente vietato dalla legge, partecipando alla Promozione, il cliente esonera e accetta di indennizzare e tenere indenne ciascuna Parte esonerata da qualsiasi responsabilità, obbligo, lesione, reclamo, causa, azione, costo, spesa, perdita o danno di qualsiasi tipo, inclusa qualsiasi responsabilità fiscale o perdita di opportunità, diretta, indiretta, speciale o consequenziale, che possa </w:t>
      </w:r>
      <w:r>
        <w:rPr>
          <w:rFonts w:eastAsia="Times New Roman"/>
          <w:sz w:val="20"/>
          <w:szCs w:val="20"/>
          <w:lang w:val="it-IT"/>
        </w:rPr>
        <w:lastRenderedPageBreak/>
        <w:t xml:space="preserve">essere imposta, fatta valere contro o sostenuta da tale Parte esonerata e derivante da o correlata in qualsiasi modo a questa Promozione o agli incentivi offerti ai sensi della stessa, incluso, ma non limitato a, laddove derivante da o relativo a quanto segue: (a) qualsiasi difficoltà tecnica o malfunzionamento dell’attrezzatura (sotto o meno il controllo dello Sponsor); (b) qualsiasi consegna errata, furto, accesso non autorizzato o interferenza di terzi; (c) qualsiasi iscrizione o richiesta nell’ambito della Promozione che sia tardiva, persa, alterata, danneggiata o indirizzata erroneamente (anche dopo la ricezione da parte dello Sponsor) oltre il ragionevole controllo dello Sponsor; (d) eventuali danni dovuti all’operazione di un servizio postale o di corriere; (e) eventuali passività fiscali sostenute dal partecipante; e (f) uso o uso improprio di qualsiasi prodotto scontato od omaggio con l’acquisto (eccetto nella misura coperta da qualsiasi condizione di garanzia applicabile).  </w:t>
      </w:r>
    </w:p>
    <w:p w14:paraId="4E512BBE" w14:textId="77777777" w:rsidR="004D69D7" w:rsidRPr="006D63B1" w:rsidRDefault="004D69D7" w:rsidP="004D69D7">
      <w:pPr>
        <w:pStyle w:val="BodyText"/>
        <w:spacing w:after="0"/>
        <w:rPr>
          <w:rFonts w:ascii="Times New Roman" w:hAnsi="Times New Roman"/>
          <w:sz w:val="20"/>
        </w:rPr>
      </w:pPr>
    </w:p>
    <w:p w14:paraId="1B080559" w14:textId="147B0183" w:rsidR="004D69D7" w:rsidRPr="006D63B1" w:rsidRDefault="004D69D7" w:rsidP="004D69D7">
      <w:pPr>
        <w:pStyle w:val="ListParagraph"/>
        <w:numPr>
          <w:ilvl w:val="0"/>
          <w:numId w:val="14"/>
        </w:numPr>
        <w:ind w:left="284" w:hanging="284"/>
        <w:jc w:val="both"/>
        <w:rPr>
          <w:sz w:val="20"/>
        </w:rPr>
      </w:pPr>
      <w:r>
        <w:rPr>
          <w:rFonts w:eastAsia="Times New Roman"/>
          <w:b/>
          <w:bCs/>
          <w:sz w:val="20"/>
          <w:szCs w:val="20"/>
          <w:lang w:val="it-IT"/>
        </w:rPr>
        <w:t>Avviso sulla proprietà intellettuale</w:t>
      </w:r>
      <w:r>
        <w:rPr>
          <w:rFonts w:eastAsia="Times New Roman"/>
          <w:sz w:val="20"/>
          <w:szCs w:val="20"/>
          <w:lang w:val="it-IT"/>
        </w:rPr>
        <w:t>.  La Promozione e tutti i materiali di accompagnamento, inclusi i presenti termini e condizioni, sono protetti da copyright © 202</w:t>
      </w:r>
      <w:r w:rsidR="000E4EDE">
        <w:rPr>
          <w:rFonts w:eastAsia="Times New Roman"/>
          <w:sz w:val="20"/>
          <w:szCs w:val="20"/>
          <w:lang w:val="it-IT"/>
        </w:rPr>
        <w:t>5</w:t>
      </w:r>
      <w:r>
        <w:rPr>
          <w:rFonts w:eastAsia="Times New Roman"/>
          <w:sz w:val="20"/>
          <w:szCs w:val="20"/>
          <w:lang w:val="it-IT"/>
        </w:rPr>
        <w:t xml:space="preserve"> di Fluke Europe B.V. Tutti i diritti riservati.</w:t>
      </w:r>
    </w:p>
    <w:p w14:paraId="1DC1DB56" w14:textId="77777777" w:rsidR="004D69D7" w:rsidRPr="006D63B1" w:rsidRDefault="004D69D7" w:rsidP="004D69D7">
      <w:pPr>
        <w:pStyle w:val="BodyText"/>
        <w:spacing w:after="0"/>
        <w:rPr>
          <w:rFonts w:ascii="Times New Roman" w:hAnsi="Times New Roman"/>
          <w:sz w:val="20"/>
        </w:rPr>
      </w:pPr>
    </w:p>
    <w:p w14:paraId="310827F8" w14:textId="1BD60F07" w:rsidR="004D69D7" w:rsidRPr="004D69D7" w:rsidRDefault="004D69D7" w:rsidP="004D69D7">
      <w:pPr>
        <w:pStyle w:val="ListParagraph"/>
        <w:numPr>
          <w:ilvl w:val="0"/>
          <w:numId w:val="14"/>
        </w:numPr>
        <w:ind w:left="284" w:hanging="284"/>
        <w:jc w:val="both"/>
        <w:rPr>
          <w:sz w:val="20"/>
          <w:lang w:val="it-IT"/>
        </w:rPr>
      </w:pPr>
      <w:r>
        <w:rPr>
          <w:rFonts w:eastAsia="Times New Roman"/>
          <w:b/>
          <w:bCs/>
          <w:sz w:val="20"/>
          <w:szCs w:val="20"/>
          <w:lang w:val="it-IT"/>
        </w:rPr>
        <w:t>Varie</w:t>
      </w:r>
      <w:r>
        <w:rPr>
          <w:rFonts w:eastAsia="Times New Roman"/>
          <w:sz w:val="20"/>
          <w:szCs w:val="20"/>
          <w:lang w:val="it-IT"/>
        </w:rPr>
        <w:t xml:space="preserve">.  La Promozione e i presenti Termini e condizioni saranno regolati, concordati e interpretati in conformità alle leggi del Paese di costituzione dello Sponsor, senza riguardo ad alcuna disposizione in materia di conflitti tra leggi che possano fare riferimento all’interpretazione dei termini qui esposti in base alle leggi di altre giurisdizioni.  I clienti che partecipano a questa Promozione sono vincolati dai presenti Termini e condizioni e dalle decisioni dello Sponsor che sono finali e vincolanti in tutti gli aspetti. I presenti Termini e condizioni costituiscono l’intero accordo che regola la Promozione e vincola i clienti; nessun altro accordo, verbale o in altra forma, sarà vincolante in relazione alla Promozione, a meno che non sia scritto e firmato dallo Sponsor. In caso di eventuali conflitti o incoerenze tra qualsiasi altro documento relativo alla Promozione e i presenti Termini e condizioni, prevarranno questi ultimi. Nei limiti massimi ammessi dalla legge, nessun annullamento di clausole di questi Termini e condizioni potrà essere considerato implicito a seguito di accordi tra il cliente e lo Sponsor o di eventuali mancanze da parte del cliente o dello Sponsor di fare valere i propri diritti in quest’ambito in qualsiasi occasione. Nella misura massima consentita dalla legge applicabile, lo Sponsor si riserva il diritto di modificare i presenti termini e condizioni in qualsiasi momento, a sua esclusiva discrezione, e di sospendere o annullare la Promozione o la partecipazione di qualsiasi persona alla Promozione se virus informatici, intervento umano non autorizzato o altre cause al di fuori del ragionevole controllo dello Sponsor dovessero compromettere l’amministrazione, la sicurezza o lo svolgimento della Promozione, oppure se lo Sponsor diventa altrimenti (come determinato a sua esclusiva discrezione) incapace di condurre la Promozione come previsto, o per qualsiasi altro motivo ritenuto appropriato dallo Sponsor a suo avviso di riservatezza.  I Partecipanti che violano i presenti termini e condizioni, violano qualsiasi legge, norma o regolamento in relazione alla partecipazione alla Promozione, interferiscono con il funzionamento della Promozione o di qualsiasi titolare del trattamento offerto ai sensi del presente documento o adottano qualsiasi condotta dannosa o ingiusta nei confronti dello Sponsor, della Promozione o di qualsiasi altro partecipante (in ogni caso determinato a esclusiva discrezione dello Sponsor) sono soggetti all’esclusione dalla partecipazione alla Promozione.  In caso di domande su questi Termini e condizioni o sulla Promozione, inviare una e-mail a </w:t>
      </w:r>
      <w:hyperlink r:id="rId22" w:history="1">
        <w:r w:rsidRPr="00A05288">
          <w:rPr>
            <w:rStyle w:val="Hyperlink"/>
            <w:rFonts w:eastAsia="Times New Roman"/>
            <w:sz w:val="20"/>
            <w:szCs w:val="20"/>
            <w:lang w:val="it-IT"/>
          </w:rPr>
          <w:t>ehv-marcom@fluke.nl</w:t>
        </w:r>
      </w:hyperlink>
      <w:r>
        <w:rPr>
          <w:rFonts w:eastAsia="Times New Roman"/>
          <w:sz w:val="20"/>
          <w:szCs w:val="20"/>
          <w:lang w:val="it-IT"/>
        </w:rPr>
        <w:t xml:space="preserve"> o scrivere direttamente ai seguenti indirizzi: Fluke Europe B.V., BIC 1, 5657 BX, Eindhoven, Paesi Bassi.</w:t>
      </w:r>
    </w:p>
    <w:p w14:paraId="20F211A3" w14:textId="77777777" w:rsidR="004D69D7" w:rsidRPr="004D69D7" w:rsidRDefault="004D69D7" w:rsidP="004D69D7">
      <w:pPr>
        <w:pStyle w:val="ListParagraph"/>
        <w:ind w:left="284"/>
        <w:jc w:val="both"/>
        <w:rPr>
          <w:sz w:val="20"/>
          <w:lang w:val="it-IT"/>
        </w:rPr>
      </w:pPr>
    </w:p>
    <w:p w14:paraId="019B6B11" w14:textId="77777777" w:rsidR="004D69D7" w:rsidRPr="006D63B1" w:rsidRDefault="004D69D7" w:rsidP="004D69D7">
      <w:pPr>
        <w:pStyle w:val="ListParagraph"/>
        <w:numPr>
          <w:ilvl w:val="0"/>
          <w:numId w:val="14"/>
        </w:numPr>
        <w:ind w:left="284" w:hanging="284"/>
        <w:jc w:val="both"/>
        <w:rPr>
          <w:sz w:val="20"/>
        </w:rPr>
      </w:pPr>
      <w:r>
        <w:rPr>
          <w:rFonts w:eastAsia="Times New Roman"/>
          <w:sz w:val="20"/>
          <w:szCs w:val="20"/>
          <w:lang w:val="it-IT"/>
        </w:rPr>
        <w:t xml:space="preserve">L’utilizzo da parte dello Sponsor delle informazioni personali del cliente fornite allo Sponsor è soggetto all’Informativa sulla privacy dello Sponsor (disponibile all’indirizzo </w:t>
      </w:r>
      <w:hyperlink r:id="rId23" w:history="1">
        <w:r>
          <w:rPr>
            <w:rFonts w:eastAsia="Times New Roman"/>
            <w:color w:val="0000FF"/>
            <w:sz w:val="20"/>
            <w:szCs w:val="20"/>
            <w:u w:val="single"/>
            <w:lang w:val="it-IT"/>
          </w:rPr>
          <w:t>http://en-us.fluke.com/site/privacy</w:t>
        </w:r>
      </w:hyperlink>
      <w:r>
        <w:rPr>
          <w:rFonts w:eastAsia="Times New Roman"/>
          <w:sz w:val="20"/>
          <w:szCs w:val="20"/>
          <w:lang w:val="it-IT"/>
        </w:rPr>
        <w:t xml:space="preserve">). In caso di domande su questi Termini e condizioni o sulla Promozione, inviare un’e-mail a </w:t>
      </w:r>
      <w:hyperlink r:id="rId24" w:history="1">
        <w:r>
          <w:rPr>
            <w:rFonts w:eastAsia="Times New Roman"/>
            <w:color w:val="0000FF"/>
            <w:sz w:val="20"/>
            <w:szCs w:val="20"/>
            <w:u w:val="single"/>
            <w:lang w:val="it-IT"/>
          </w:rPr>
          <w:t>privacypolicy@fluke.com</w:t>
        </w:r>
      </w:hyperlink>
      <w:r>
        <w:rPr>
          <w:rFonts w:eastAsia="Times New Roman"/>
          <w:sz w:val="20"/>
          <w:szCs w:val="20"/>
          <w:lang w:val="it-IT"/>
        </w:rPr>
        <w:t xml:space="preserve"> o scrivere direttamente all’indirizzo sopra indicato.</w:t>
      </w:r>
    </w:p>
    <w:p w14:paraId="6CCD1CFF" w14:textId="77777777" w:rsidR="00850854" w:rsidRPr="006D63B1" w:rsidRDefault="00850854" w:rsidP="00850854">
      <w:pPr>
        <w:rPr>
          <w:sz w:val="20"/>
        </w:rPr>
      </w:pPr>
    </w:p>
    <w:p w14:paraId="2BA6FF57" w14:textId="77777777" w:rsidR="00850854" w:rsidRPr="006D63B1" w:rsidRDefault="00850854" w:rsidP="006D63B1">
      <w:pPr>
        <w:pStyle w:val="BodyText"/>
        <w:spacing w:after="0"/>
        <w:ind w:left="284"/>
        <w:rPr>
          <w:rFonts w:ascii="Times New Roman" w:hAnsi="Times New Roman"/>
          <w:sz w:val="20"/>
          <w:szCs w:val="20"/>
        </w:rPr>
      </w:pPr>
    </w:p>
    <w:sectPr w:rsidR="00850854" w:rsidRPr="006D63B1" w:rsidSect="002110D5">
      <w:headerReference w:type="default" r:id="rId25"/>
      <w:footerReference w:type="default" r:id="rId26"/>
      <w:headerReference w:type="first" r:id="rId27"/>
      <w:footerReference w:type="first" r:id="rId2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B7874" w14:textId="77777777" w:rsidR="00850854" w:rsidRDefault="00850854">
      <w:r>
        <w:separator/>
      </w:r>
    </w:p>
  </w:endnote>
  <w:endnote w:type="continuationSeparator" w:id="0">
    <w:p w14:paraId="0755E66B" w14:textId="77777777" w:rsidR="00850854" w:rsidRDefault="00850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9ADD9" w14:textId="77777777" w:rsidR="004E2BE2" w:rsidRDefault="00850854">
    <w:pPr>
      <w:pStyle w:val="Footer"/>
      <w:jc w:val="center"/>
      <w:rPr>
        <w:rFonts w:ascii="Calibri" w:hAnsi="Calibri"/>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2</w:t>
    </w:r>
    <w:r>
      <w:rPr>
        <w:rFonts w:ascii="Calibri" w:hAnsi="Calibri"/>
        <w:noProof/>
        <w:sz w:val="22"/>
        <w:szCs w:val="22"/>
      </w:rPr>
      <w:fldChar w:fldCharType="end"/>
    </w:r>
    <w:r>
      <w:rPr>
        <w:rFonts w:ascii="Calibri" w:hAnsi="Calibri"/>
        <w:sz w:val="22"/>
        <w:szCs w:val="22"/>
      </w:rPr>
      <w:t>-</w:t>
    </w:r>
  </w:p>
  <w:p w14:paraId="42FF5C76" w14:textId="77777777" w:rsidR="004E2BE2" w:rsidRDefault="00850854">
    <w:pPr>
      <w:pStyle w:val="Footer"/>
      <w:spacing w:line="200" w:lineRule="exact"/>
      <w:rPr>
        <w:rFonts w:ascii="Calibri" w:hAnsi="Calibri"/>
        <w:sz w:val="22"/>
        <w:szCs w:val="22"/>
      </w:rPr>
    </w:pPr>
    <w:r>
      <w:rPr>
        <w:rStyle w:val="zzmpTrailerItem"/>
        <w:rFonts w:eastAsia="Times New Roman"/>
        <w:lang w:val="it-IT"/>
      </w:rPr>
      <w:t>132581448.4</w:t>
    </w:r>
    <w:r>
      <w:rPr>
        <w:rStyle w:val="zzmpTrailerItem"/>
        <w:rFonts w:eastAsia="Times New Roman"/>
        <w:sz w:val="24"/>
        <w:szCs w:val="24"/>
        <w:lang w:val="it-IT"/>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A8B4" w14:textId="77777777" w:rsidR="004E2BE2" w:rsidRDefault="00850854">
    <w:pPr>
      <w:pStyle w:val="Footer"/>
      <w:jc w:val="center"/>
      <w:rPr>
        <w:rFonts w:ascii="Calibri" w:hAnsi="Calibri"/>
        <w:noProof/>
        <w:sz w:val="22"/>
        <w:szCs w:val="22"/>
      </w:rPr>
    </w:pPr>
    <w:r>
      <w:rPr>
        <w:rFonts w:ascii="Calibri" w:hAnsi="Calibri"/>
        <w:sz w:val="22"/>
        <w:szCs w:val="22"/>
      </w:rPr>
      <w:t>-</w:t>
    </w:r>
    <w:r>
      <w:rPr>
        <w:rFonts w:ascii="Calibri" w:hAnsi="Calibri"/>
        <w:sz w:val="22"/>
        <w:szCs w:val="22"/>
      </w:rPr>
      <w:fldChar w:fldCharType="begin"/>
    </w:r>
    <w:r>
      <w:rPr>
        <w:rFonts w:ascii="Calibri" w:hAnsi="Calibri"/>
        <w:sz w:val="22"/>
        <w:szCs w:val="22"/>
      </w:rPr>
      <w:instrText xml:space="preserve"> PAGE   \* MERGEFORMAT </w:instrText>
    </w:r>
    <w:r>
      <w:rPr>
        <w:rFonts w:ascii="Calibri" w:hAnsi="Calibri"/>
        <w:sz w:val="22"/>
        <w:szCs w:val="22"/>
      </w:rPr>
      <w:fldChar w:fldCharType="separate"/>
    </w:r>
    <w:r>
      <w:rPr>
        <w:rFonts w:ascii="Calibri" w:hAnsi="Calibri"/>
        <w:noProof/>
        <w:sz w:val="22"/>
        <w:szCs w:val="22"/>
      </w:rPr>
      <w:t>1</w:t>
    </w:r>
    <w:r>
      <w:rPr>
        <w:rFonts w:ascii="Calibri" w:hAnsi="Calibri"/>
        <w:noProof/>
        <w:sz w:val="22"/>
        <w:szCs w:val="22"/>
      </w:rPr>
      <w:fldChar w:fldCharType="end"/>
    </w:r>
    <w:r>
      <w:rPr>
        <w:rFonts w:ascii="Calibri" w:hAnsi="Calibri"/>
        <w:noProof/>
        <w:sz w:val="22"/>
        <w:szCs w:val="22"/>
      </w:rPr>
      <w:t>-</w:t>
    </w:r>
  </w:p>
  <w:p w14:paraId="3CD0D10A" w14:textId="77777777" w:rsidR="004E2BE2" w:rsidRDefault="00850854">
    <w:pPr>
      <w:pStyle w:val="Footer"/>
      <w:spacing w:line="200" w:lineRule="exact"/>
      <w:rPr>
        <w:rFonts w:ascii="Calibri" w:hAnsi="Calibri"/>
        <w:noProof/>
        <w:sz w:val="22"/>
        <w:szCs w:val="22"/>
      </w:rPr>
    </w:pPr>
    <w:r>
      <w:rPr>
        <w:rStyle w:val="zzmpTrailerItem"/>
        <w:rFonts w:eastAsia="Times New Roman"/>
        <w:lang w:val="it-IT"/>
      </w:rPr>
      <w:t>132581448.4</w:t>
    </w:r>
    <w:r>
      <w:rPr>
        <w:rStyle w:val="zzmpTrailerItem"/>
        <w:rFonts w:eastAsia="Times New Roman"/>
        <w:sz w:val="24"/>
        <w:szCs w:val="24"/>
        <w:lang w:val="it-I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8AC03" w14:textId="77777777" w:rsidR="00850854" w:rsidRDefault="00850854">
      <w:r>
        <w:separator/>
      </w:r>
    </w:p>
  </w:footnote>
  <w:footnote w:type="continuationSeparator" w:id="0">
    <w:p w14:paraId="67232D5F" w14:textId="77777777" w:rsidR="00850854" w:rsidRDefault="00850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E3143" w14:textId="77777777" w:rsidR="008506A1" w:rsidRDefault="00850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816FA" w14:textId="77777777" w:rsidR="004E2BE2" w:rsidRDefault="004E2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F2DCD"/>
    <w:multiLevelType w:val="hybridMultilevel"/>
    <w:tmpl w:val="19F084D2"/>
    <w:lvl w:ilvl="0" w:tplc="D9A88862">
      <w:start w:val="1"/>
      <w:numFmt w:val="bullet"/>
      <w:lvlText w:val=""/>
      <w:lvlJc w:val="left"/>
      <w:pPr>
        <w:ind w:left="1350" w:hanging="360"/>
      </w:pPr>
      <w:rPr>
        <w:rFonts w:ascii="Symbol" w:hAnsi="Symbol" w:hint="default"/>
      </w:rPr>
    </w:lvl>
    <w:lvl w:ilvl="1" w:tplc="A956F19C">
      <w:start w:val="1"/>
      <w:numFmt w:val="bullet"/>
      <w:lvlText w:val="o"/>
      <w:lvlJc w:val="left"/>
      <w:pPr>
        <w:ind w:left="2070" w:hanging="360"/>
      </w:pPr>
      <w:rPr>
        <w:rFonts w:ascii="Courier New" w:hAnsi="Courier New" w:cs="Courier New" w:hint="default"/>
      </w:rPr>
    </w:lvl>
    <w:lvl w:ilvl="2" w:tplc="8918EA04">
      <w:start w:val="1"/>
      <w:numFmt w:val="bullet"/>
      <w:lvlText w:val=""/>
      <w:lvlJc w:val="left"/>
      <w:pPr>
        <w:ind w:left="2790" w:hanging="360"/>
      </w:pPr>
      <w:rPr>
        <w:rFonts w:ascii="Wingdings" w:hAnsi="Wingdings" w:hint="default"/>
      </w:rPr>
    </w:lvl>
    <w:lvl w:ilvl="3" w:tplc="43EC2EA2">
      <w:start w:val="1"/>
      <w:numFmt w:val="bullet"/>
      <w:lvlText w:val=""/>
      <w:lvlJc w:val="left"/>
      <w:pPr>
        <w:ind w:left="3510" w:hanging="360"/>
      </w:pPr>
      <w:rPr>
        <w:rFonts w:ascii="Symbol" w:hAnsi="Symbol" w:hint="default"/>
      </w:rPr>
    </w:lvl>
    <w:lvl w:ilvl="4" w:tplc="624EC26E">
      <w:start w:val="1"/>
      <w:numFmt w:val="bullet"/>
      <w:lvlText w:val="o"/>
      <w:lvlJc w:val="left"/>
      <w:pPr>
        <w:ind w:left="4230" w:hanging="360"/>
      </w:pPr>
      <w:rPr>
        <w:rFonts w:ascii="Courier New" w:hAnsi="Courier New" w:cs="Courier New" w:hint="default"/>
      </w:rPr>
    </w:lvl>
    <w:lvl w:ilvl="5" w:tplc="78721650">
      <w:start w:val="1"/>
      <w:numFmt w:val="bullet"/>
      <w:lvlText w:val=""/>
      <w:lvlJc w:val="left"/>
      <w:pPr>
        <w:ind w:left="4950" w:hanging="360"/>
      </w:pPr>
      <w:rPr>
        <w:rFonts w:ascii="Wingdings" w:hAnsi="Wingdings" w:hint="default"/>
      </w:rPr>
    </w:lvl>
    <w:lvl w:ilvl="6" w:tplc="4754CCC0">
      <w:start w:val="1"/>
      <w:numFmt w:val="bullet"/>
      <w:lvlText w:val=""/>
      <w:lvlJc w:val="left"/>
      <w:pPr>
        <w:ind w:left="5670" w:hanging="360"/>
      </w:pPr>
      <w:rPr>
        <w:rFonts w:ascii="Symbol" w:hAnsi="Symbol" w:hint="default"/>
      </w:rPr>
    </w:lvl>
    <w:lvl w:ilvl="7" w:tplc="82C68C4A">
      <w:start w:val="1"/>
      <w:numFmt w:val="bullet"/>
      <w:lvlText w:val="o"/>
      <w:lvlJc w:val="left"/>
      <w:pPr>
        <w:ind w:left="6390" w:hanging="360"/>
      </w:pPr>
      <w:rPr>
        <w:rFonts w:ascii="Courier New" w:hAnsi="Courier New" w:cs="Courier New" w:hint="default"/>
      </w:rPr>
    </w:lvl>
    <w:lvl w:ilvl="8" w:tplc="9B569F18">
      <w:start w:val="1"/>
      <w:numFmt w:val="bullet"/>
      <w:lvlText w:val=""/>
      <w:lvlJc w:val="left"/>
      <w:pPr>
        <w:ind w:left="7110" w:hanging="360"/>
      </w:pPr>
      <w:rPr>
        <w:rFonts w:ascii="Wingdings" w:hAnsi="Wingdings" w:hint="default"/>
      </w:rPr>
    </w:lvl>
  </w:abstractNum>
  <w:abstractNum w:abstractNumId="1" w15:restartNumberingAfterBreak="0">
    <w:nsid w:val="25086E03"/>
    <w:multiLevelType w:val="hybridMultilevel"/>
    <w:tmpl w:val="700E444E"/>
    <w:lvl w:ilvl="0" w:tplc="F7B4416C">
      <w:start w:val="1"/>
      <w:numFmt w:val="decimal"/>
      <w:lvlText w:val="%1."/>
      <w:lvlJc w:val="left"/>
      <w:pPr>
        <w:ind w:left="630" w:hanging="360"/>
      </w:pPr>
    </w:lvl>
    <w:lvl w:ilvl="1" w:tplc="37681EA6">
      <w:start w:val="1"/>
      <w:numFmt w:val="lowerLetter"/>
      <w:lvlText w:val="%2."/>
      <w:lvlJc w:val="left"/>
      <w:pPr>
        <w:ind w:left="1350" w:hanging="360"/>
      </w:pPr>
    </w:lvl>
    <w:lvl w:ilvl="2" w:tplc="45763082">
      <w:start w:val="1"/>
      <w:numFmt w:val="lowerRoman"/>
      <w:lvlText w:val="%3."/>
      <w:lvlJc w:val="right"/>
      <w:pPr>
        <w:ind w:left="2070" w:hanging="180"/>
      </w:pPr>
    </w:lvl>
    <w:lvl w:ilvl="3" w:tplc="35903D42">
      <w:start w:val="1"/>
      <w:numFmt w:val="decimal"/>
      <w:lvlText w:val="%4."/>
      <w:lvlJc w:val="left"/>
      <w:pPr>
        <w:ind w:left="2790" w:hanging="360"/>
      </w:pPr>
    </w:lvl>
    <w:lvl w:ilvl="4" w:tplc="75FE0054">
      <w:start w:val="1"/>
      <w:numFmt w:val="lowerLetter"/>
      <w:lvlText w:val="%5."/>
      <w:lvlJc w:val="left"/>
      <w:pPr>
        <w:ind w:left="3510" w:hanging="360"/>
      </w:pPr>
    </w:lvl>
    <w:lvl w:ilvl="5" w:tplc="E1564AA2">
      <w:start w:val="1"/>
      <w:numFmt w:val="lowerRoman"/>
      <w:lvlText w:val="%6."/>
      <w:lvlJc w:val="right"/>
      <w:pPr>
        <w:ind w:left="4230" w:hanging="180"/>
      </w:pPr>
    </w:lvl>
    <w:lvl w:ilvl="6" w:tplc="91607D2C">
      <w:start w:val="1"/>
      <w:numFmt w:val="decimal"/>
      <w:lvlText w:val="%7."/>
      <w:lvlJc w:val="left"/>
      <w:pPr>
        <w:ind w:left="4950" w:hanging="360"/>
      </w:pPr>
    </w:lvl>
    <w:lvl w:ilvl="7" w:tplc="6114B65A">
      <w:start w:val="1"/>
      <w:numFmt w:val="lowerLetter"/>
      <w:lvlText w:val="%8."/>
      <w:lvlJc w:val="left"/>
      <w:pPr>
        <w:ind w:left="5670" w:hanging="360"/>
      </w:pPr>
    </w:lvl>
    <w:lvl w:ilvl="8" w:tplc="39060D44">
      <w:start w:val="1"/>
      <w:numFmt w:val="lowerRoman"/>
      <w:lvlText w:val="%9."/>
      <w:lvlJc w:val="right"/>
      <w:pPr>
        <w:ind w:left="6390" w:hanging="180"/>
      </w:pPr>
    </w:lvl>
  </w:abstractNum>
  <w:abstractNum w:abstractNumId="2" w15:restartNumberingAfterBreak="0">
    <w:nsid w:val="2E16302E"/>
    <w:multiLevelType w:val="hybridMultilevel"/>
    <w:tmpl w:val="199AAE14"/>
    <w:lvl w:ilvl="0" w:tplc="EAFEBE48">
      <w:start w:val="1"/>
      <w:numFmt w:val="bullet"/>
      <w:lvlText w:val=""/>
      <w:lvlJc w:val="left"/>
      <w:pPr>
        <w:ind w:left="1440" w:hanging="360"/>
      </w:pPr>
      <w:rPr>
        <w:rFonts w:ascii="Symbol" w:hAnsi="Symbol" w:hint="default"/>
      </w:rPr>
    </w:lvl>
    <w:lvl w:ilvl="1" w:tplc="7D7A4DDA" w:tentative="1">
      <w:start w:val="1"/>
      <w:numFmt w:val="bullet"/>
      <w:lvlText w:val="o"/>
      <w:lvlJc w:val="left"/>
      <w:pPr>
        <w:ind w:left="2160" w:hanging="360"/>
      </w:pPr>
      <w:rPr>
        <w:rFonts w:ascii="Courier New" w:hAnsi="Courier New" w:cs="Courier New" w:hint="default"/>
      </w:rPr>
    </w:lvl>
    <w:lvl w:ilvl="2" w:tplc="09DEF114" w:tentative="1">
      <w:start w:val="1"/>
      <w:numFmt w:val="bullet"/>
      <w:lvlText w:val=""/>
      <w:lvlJc w:val="left"/>
      <w:pPr>
        <w:ind w:left="2880" w:hanging="360"/>
      </w:pPr>
      <w:rPr>
        <w:rFonts w:ascii="Wingdings" w:hAnsi="Wingdings" w:hint="default"/>
      </w:rPr>
    </w:lvl>
    <w:lvl w:ilvl="3" w:tplc="424CEDE2" w:tentative="1">
      <w:start w:val="1"/>
      <w:numFmt w:val="bullet"/>
      <w:lvlText w:val=""/>
      <w:lvlJc w:val="left"/>
      <w:pPr>
        <w:ind w:left="3600" w:hanging="360"/>
      </w:pPr>
      <w:rPr>
        <w:rFonts w:ascii="Symbol" w:hAnsi="Symbol" w:hint="default"/>
      </w:rPr>
    </w:lvl>
    <w:lvl w:ilvl="4" w:tplc="BFD4A15A" w:tentative="1">
      <w:start w:val="1"/>
      <w:numFmt w:val="bullet"/>
      <w:lvlText w:val="o"/>
      <w:lvlJc w:val="left"/>
      <w:pPr>
        <w:ind w:left="4320" w:hanging="360"/>
      </w:pPr>
      <w:rPr>
        <w:rFonts w:ascii="Courier New" w:hAnsi="Courier New" w:cs="Courier New" w:hint="default"/>
      </w:rPr>
    </w:lvl>
    <w:lvl w:ilvl="5" w:tplc="8F5E8F96" w:tentative="1">
      <w:start w:val="1"/>
      <w:numFmt w:val="bullet"/>
      <w:lvlText w:val=""/>
      <w:lvlJc w:val="left"/>
      <w:pPr>
        <w:ind w:left="5040" w:hanging="360"/>
      </w:pPr>
      <w:rPr>
        <w:rFonts w:ascii="Wingdings" w:hAnsi="Wingdings" w:hint="default"/>
      </w:rPr>
    </w:lvl>
    <w:lvl w:ilvl="6" w:tplc="E342DF62" w:tentative="1">
      <w:start w:val="1"/>
      <w:numFmt w:val="bullet"/>
      <w:lvlText w:val=""/>
      <w:lvlJc w:val="left"/>
      <w:pPr>
        <w:ind w:left="5760" w:hanging="360"/>
      </w:pPr>
      <w:rPr>
        <w:rFonts w:ascii="Symbol" w:hAnsi="Symbol" w:hint="default"/>
      </w:rPr>
    </w:lvl>
    <w:lvl w:ilvl="7" w:tplc="62B6739C" w:tentative="1">
      <w:start w:val="1"/>
      <w:numFmt w:val="bullet"/>
      <w:lvlText w:val="o"/>
      <w:lvlJc w:val="left"/>
      <w:pPr>
        <w:ind w:left="6480" w:hanging="360"/>
      </w:pPr>
      <w:rPr>
        <w:rFonts w:ascii="Courier New" w:hAnsi="Courier New" w:cs="Courier New" w:hint="default"/>
      </w:rPr>
    </w:lvl>
    <w:lvl w:ilvl="8" w:tplc="B57CDFE4" w:tentative="1">
      <w:start w:val="1"/>
      <w:numFmt w:val="bullet"/>
      <w:lvlText w:val=""/>
      <w:lvlJc w:val="left"/>
      <w:pPr>
        <w:ind w:left="7200" w:hanging="360"/>
      </w:pPr>
      <w:rPr>
        <w:rFonts w:ascii="Wingdings" w:hAnsi="Wingdings" w:hint="default"/>
      </w:rPr>
    </w:lvl>
  </w:abstractNum>
  <w:abstractNum w:abstractNumId="3" w15:restartNumberingAfterBreak="0">
    <w:nsid w:val="4A636BE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516CDD"/>
    <w:multiLevelType w:val="hybridMultilevel"/>
    <w:tmpl w:val="E78EF262"/>
    <w:lvl w:ilvl="0" w:tplc="296694DC">
      <w:start w:val="3"/>
      <w:numFmt w:val="decimal"/>
      <w:lvlText w:val="%1)"/>
      <w:lvlJc w:val="left"/>
      <w:pPr>
        <w:ind w:left="720" w:hanging="360"/>
      </w:pPr>
      <w:rPr>
        <w:rFonts w:hint="default"/>
        <w:b/>
      </w:rPr>
    </w:lvl>
    <w:lvl w:ilvl="1" w:tplc="237E09F6">
      <w:start w:val="1"/>
      <w:numFmt w:val="lowerLetter"/>
      <w:lvlText w:val="%2."/>
      <w:lvlJc w:val="left"/>
      <w:pPr>
        <w:ind w:left="1440" w:hanging="360"/>
      </w:pPr>
    </w:lvl>
    <w:lvl w:ilvl="2" w:tplc="813A06CA" w:tentative="1">
      <w:start w:val="1"/>
      <w:numFmt w:val="lowerRoman"/>
      <w:lvlText w:val="%3."/>
      <w:lvlJc w:val="right"/>
      <w:pPr>
        <w:ind w:left="2160" w:hanging="180"/>
      </w:pPr>
    </w:lvl>
    <w:lvl w:ilvl="3" w:tplc="D74066A4" w:tentative="1">
      <w:start w:val="1"/>
      <w:numFmt w:val="decimal"/>
      <w:lvlText w:val="%4."/>
      <w:lvlJc w:val="left"/>
      <w:pPr>
        <w:ind w:left="2880" w:hanging="360"/>
      </w:pPr>
    </w:lvl>
    <w:lvl w:ilvl="4" w:tplc="08E208FE" w:tentative="1">
      <w:start w:val="1"/>
      <w:numFmt w:val="lowerLetter"/>
      <w:lvlText w:val="%5."/>
      <w:lvlJc w:val="left"/>
      <w:pPr>
        <w:ind w:left="3600" w:hanging="360"/>
      </w:pPr>
    </w:lvl>
    <w:lvl w:ilvl="5" w:tplc="553E8102" w:tentative="1">
      <w:start w:val="1"/>
      <w:numFmt w:val="lowerRoman"/>
      <w:lvlText w:val="%6."/>
      <w:lvlJc w:val="right"/>
      <w:pPr>
        <w:ind w:left="4320" w:hanging="180"/>
      </w:pPr>
    </w:lvl>
    <w:lvl w:ilvl="6" w:tplc="C5DE4E6E" w:tentative="1">
      <w:start w:val="1"/>
      <w:numFmt w:val="decimal"/>
      <w:lvlText w:val="%7."/>
      <w:lvlJc w:val="left"/>
      <w:pPr>
        <w:ind w:left="5040" w:hanging="360"/>
      </w:pPr>
    </w:lvl>
    <w:lvl w:ilvl="7" w:tplc="4C301D42" w:tentative="1">
      <w:start w:val="1"/>
      <w:numFmt w:val="lowerLetter"/>
      <w:lvlText w:val="%8."/>
      <w:lvlJc w:val="left"/>
      <w:pPr>
        <w:ind w:left="5760" w:hanging="360"/>
      </w:pPr>
    </w:lvl>
    <w:lvl w:ilvl="8" w:tplc="F7DAF100" w:tentative="1">
      <w:start w:val="1"/>
      <w:numFmt w:val="lowerRoman"/>
      <w:lvlText w:val="%9."/>
      <w:lvlJc w:val="right"/>
      <w:pPr>
        <w:ind w:left="6480" w:hanging="180"/>
      </w:pPr>
    </w:lvl>
  </w:abstractNum>
  <w:abstractNum w:abstractNumId="5" w15:restartNumberingAfterBreak="0">
    <w:nsid w:val="63AC1449"/>
    <w:multiLevelType w:val="multilevel"/>
    <w:tmpl w:val="86EED22A"/>
    <w:name w:val="zzmpOutline||Outline|2|3|1|1|12|1||1|12|32||1|12|1||1|12|1||1|12|1||1|12|1||1|12|1||1|12|1||1|12|1||"/>
    <w:lvl w:ilvl="0">
      <w:start w:val="1"/>
      <w:numFmt w:val="decimal"/>
      <w:pStyle w:val="OutlineL1"/>
      <w:lvlText w:val="%1."/>
      <w:lvlJc w:val="left"/>
      <w:pPr>
        <w:tabs>
          <w:tab w:val="num" w:pos="1152"/>
        </w:tabs>
        <w:ind w:left="1008" w:hanging="576"/>
      </w:pPr>
      <w:rPr>
        <w:b w:val="0"/>
        <w:i w:val="0"/>
        <w:caps w:val="0"/>
        <w:smallCaps w:val="0"/>
        <w:u w:val="none"/>
      </w:rPr>
    </w:lvl>
    <w:lvl w:ilvl="1">
      <w:start w:val="1"/>
      <w:numFmt w:val="lowerLetter"/>
      <w:pStyle w:val="OutlineL2"/>
      <w:lvlText w:val="%2."/>
      <w:lvlJc w:val="left"/>
      <w:pPr>
        <w:tabs>
          <w:tab w:val="num" w:pos="2160"/>
        </w:tabs>
        <w:ind w:left="2160" w:hanging="720"/>
      </w:pPr>
      <w:rPr>
        <w:b w:val="0"/>
        <w:i w:val="0"/>
        <w:caps w:val="0"/>
        <w:u w:val="none"/>
      </w:rPr>
    </w:lvl>
    <w:lvl w:ilvl="2">
      <w:start w:val="1"/>
      <w:numFmt w:val="decimal"/>
      <w:pStyle w:val="OutlineL3"/>
      <w:lvlText w:val="%3."/>
      <w:lvlJc w:val="left"/>
      <w:pPr>
        <w:tabs>
          <w:tab w:val="num" w:pos="2160"/>
        </w:tabs>
        <w:ind w:left="0" w:firstLine="1440"/>
      </w:pPr>
      <w:rPr>
        <w:b/>
        <w:i w:val="0"/>
        <w:caps w:val="0"/>
        <w:u w:val="none"/>
      </w:rPr>
    </w:lvl>
    <w:lvl w:ilvl="3">
      <w:start w:val="1"/>
      <w:numFmt w:val="lowerLetter"/>
      <w:pStyle w:val="OutlineL4"/>
      <w:lvlText w:val="%4."/>
      <w:lvlJc w:val="left"/>
      <w:pPr>
        <w:tabs>
          <w:tab w:val="num" w:pos="2880"/>
        </w:tabs>
        <w:ind w:left="0" w:firstLine="2160"/>
      </w:pPr>
      <w:rPr>
        <w:b/>
        <w:i w:val="0"/>
        <w:caps w:val="0"/>
        <w:u w:val="none"/>
      </w:rPr>
    </w:lvl>
    <w:lvl w:ilvl="4">
      <w:start w:val="1"/>
      <w:numFmt w:val="lowerRoman"/>
      <w:pStyle w:val="OutlineL5"/>
      <w:lvlText w:val="(%5)"/>
      <w:lvlJc w:val="left"/>
      <w:pPr>
        <w:tabs>
          <w:tab w:val="num" w:pos="3600"/>
        </w:tabs>
        <w:ind w:left="0" w:firstLine="2880"/>
      </w:pPr>
      <w:rPr>
        <w:b/>
        <w:i w:val="0"/>
        <w:caps w:val="0"/>
        <w:u w:val="none"/>
      </w:rPr>
    </w:lvl>
    <w:lvl w:ilvl="5">
      <w:start w:val="1"/>
      <w:numFmt w:val="lowerLetter"/>
      <w:pStyle w:val="OutlineL6"/>
      <w:lvlText w:val="(%6)"/>
      <w:lvlJc w:val="left"/>
      <w:pPr>
        <w:tabs>
          <w:tab w:val="num" w:pos="4320"/>
        </w:tabs>
        <w:ind w:left="0" w:firstLine="3600"/>
      </w:pPr>
      <w:rPr>
        <w:b/>
        <w:i w:val="0"/>
        <w:caps w:val="0"/>
        <w:u w:val="none"/>
      </w:rPr>
    </w:lvl>
    <w:lvl w:ilvl="6">
      <w:start w:val="1"/>
      <w:numFmt w:val="decimal"/>
      <w:pStyle w:val="OutlineL7"/>
      <w:lvlText w:val="(%7)"/>
      <w:lvlJc w:val="left"/>
      <w:pPr>
        <w:tabs>
          <w:tab w:val="num" w:pos="5040"/>
        </w:tabs>
        <w:ind w:left="0" w:firstLine="4320"/>
      </w:pPr>
      <w:rPr>
        <w:b/>
        <w:i w:val="0"/>
        <w:caps w:val="0"/>
        <w:u w:val="none"/>
      </w:rPr>
    </w:lvl>
    <w:lvl w:ilvl="7">
      <w:start w:val="1"/>
      <w:numFmt w:val="lowerRoman"/>
      <w:pStyle w:val="OutlineL8"/>
      <w:lvlText w:val="%8)"/>
      <w:lvlJc w:val="left"/>
      <w:pPr>
        <w:tabs>
          <w:tab w:val="num" w:pos="5760"/>
        </w:tabs>
        <w:ind w:left="0" w:firstLine="5040"/>
      </w:pPr>
      <w:rPr>
        <w:b/>
        <w:i w:val="0"/>
        <w:caps w:val="0"/>
        <w:u w:val="none"/>
      </w:rPr>
    </w:lvl>
    <w:lvl w:ilvl="8">
      <w:start w:val="1"/>
      <w:numFmt w:val="lowerLetter"/>
      <w:pStyle w:val="OutlineL9"/>
      <w:lvlText w:val="%9)"/>
      <w:lvlJc w:val="left"/>
      <w:pPr>
        <w:tabs>
          <w:tab w:val="num" w:pos="6480"/>
        </w:tabs>
        <w:ind w:left="0" w:firstLine="5760"/>
      </w:pPr>
      <w:rPr>
        <w:b/>
        <w:i w:val="0"/>
        <w:caps w:val="0"/>
        <w:u w:val="none"/>
      </w:rPr>
    </w:lvl>
  </w:abstractNum>
  <w:num w:numId="1" w16cid:durableId="1783064221">
    <w:abstractNumId w:val="5"/>
  </w:num>
  <w:num w:numId="2" w16cid:durableId="9154797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72304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730997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7414609">
    <w:abstractNumId w:val="5"/>
  </w:num>
  <w:num w:numId="6" w16cid:durableId="119227127">
    <w:abstractNumId w:val="5"/>
  </w:num>
  <w:num w:numId="7" w16cid:durableId="2099474974">
    <w:abstractNumId w:val="5"/>
  </w:num>
  <w:num w:numId="8" w16cid:durableId="2002853069">
    <w:abstractNumId w:val="5"/>
  </w:num>
  <w:num w:numId="9" w16cid:durableId="1380744709">
    <w:abstractNumId w:val="3"/>
  </w:num>
  <w:num w:numId="10" w16cid:durableId="14515575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41012098">
    <w:abstractNumId w:val="0"/>
  </w:num>
  <w:num w:numId="12" w16cid:durableId="1467626661">
    <w:abstractNumId w:val="1"/>
  </w:num>
  <w:num w:numId="13" w16cid:durableId="359278501">
    <w:abstractNumId w:val="2"/>
  </w:num>
  <w:num w:numId="14" w16cid:durableId="13145227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B20"/>
    <w:rsid w:val="000021F7"/>
    <w:rsid w:val="00012874"/>
    <w:rsid w:val="00015F21"/>
    <w:rsid w:val="000270EC"/>
    <w:rsid w:val="00031A87"/>
    <w:rsid w:val="00053092"/>
    <w:rsid w:val="00080806"/>
    <w:rsid w:val="0008590A"/>
    <w:rsid w:val="00097080"/>
    <w:rsid w:val="000A3FFC"/>
    <w:rsid w:val="000A4866"/>
    <w:rsid w:val="000A57BD"/>
    <w:rsid w:val="000B2D6B"/>
    <w:rsid w:val="000B3686"/>
    <w:rsid w:val="000C04FB"/>
    <w:rsid w:val="000C4619"/>
    <w:rsid w:val="000D134F"/>
    <w:rsid w:val="000D3C84"/>
    <w:rsid w:val="000E1C9F"/>
    <w:rsid w:val="000E4EDE"/>
    <w:rsid w:val="000E518F"/>
    <w:rsid w:val="00122D5B"/>
    <w:rsid w:val="001750F9"/>
    <w:rsid w:val="00177E84"/>
    <w:rsid w:val="00182AF7"/>
    <w:rsid w:val="001852DC"/>
    <w:rsid w:val="001905FE"/>
    <w:rsid w:val="001A347D"/>
    <w:rsid w:val="001B369D"/>
    <w:rsid w:val="001B6514"/>
    <w:rsid w:val="001C1F96"/>
    <w:rsid w:val="001F35CE"/>
    <w:rsid w:val="0020744C"/>
    <w:rsid w:val="002110D5"/>
    <w:rsid w:val="00215139"/>
    <w:rsid w:val="00221DBF"/>
    <w:rsid w:val="00223726"/>
    <w:rsid w:val="00227B20"/>
    <w:rsid w:val="002345C2"/>
    <w:rsid w:val="002442D1"/>
    <w:rsid w:val="002625B8"/>
    <w:rsid w:val="00281E61"/>
    <w:rsid w:val="0028695D"/>
    <w:rsid w:val="002A1FF9"/>
    <w:rsid w:val="002A45D9"/>
    <w:rsid w:val="002B1F46"/>
    <w:rsid w:val="002B7846"/>
    <w:rsid w:val="002E3358"/>
    <w:rsid w:val="002E64CD"/>
    <w:rsid w:val="002F6059"/>
    <w:rsid w:val="002F75B3"/>
    <w:rsid w:val="0030593C"/>
    <w:rsid w:val="00307B32"/>
    <w:rsid w:val="0032001B"/>
    <w:rsid w:val="00324A57"/>
    <w:rsid w:val="00327B50"/>
    <w:rsid w:val="00330C89"/>
    <w:rsid w:val="00332FA4"/>
    <w:rsid w:val="00335E81"/>
    <w:rsid w:val="0034146D"/>
    <w:rsid w:val="003438B0"/>
    <w:rsid w:val="00346B02"/>
    <w:rsid w:val="00351E27"/>
    <w:rsid w:val="00357BF8"/>
    <w:rsid w:val="00374B2C"/>
    <w:rsid w:val="003A5E0B"/>
    <w:rsid w:val="003D057A"/>
    <w:rsid w:val="003E5F1E"/>
    <w:rsid w:val="00403FE5"/>
    <w:rsid w:val="00410B71"/>
    <w:rsid w:val="00415671"/>
    <w:rsid w:val="00420BC4"/>
    <w:rsid w:val="00455ABE"/>
    <w:rsid w:val="00464ABC"/>
    <w:rsid w:val="00472DBE"/>
    <w:rsid w:val="00474B5D"/>
    <w:rsid w:val="00490983"/>
    <w:rsid w:val="00492641"/>
    <w:rsid w:val="00493353"/>
    <w:rsid w:val="00493811"/>
    <w:rsid w:val="00495496"/>
    <w:rsid w:val="004B1EB5"/>
    <w:rsid w:val="004B7015"/>
    <w:rsid w:val="004C01D1"/>
    <w:rsid w:val="004C2E78"/>
    <w:rsid w:val="004C3E8B"/>
    <w:rsid w:val="004C4E58"/>
    <w:rsid w:val="004C5EC6"/>
    <w:rsid w:val="004D3D27"/>
    <w:rsid w:val="004D69AA"/>
    <w:rsid w:val="004D69D7"/>
    <w:rsid w:val="004E2BE2"/>
    <w:rsid w:val="004E4B32"/>
    <w:rsid w:val="004E6B5D"/>
    <w:rsid w:val="00501CD1"/>
    <w:rsid w:val="005254FD"/>
    <w:rsid w:val="00530F43"/>
    <w:rsid w:val="0053117E"/>
    <w:rsid w:val="00545CCE"/>
    <w:rsid w:val="005508D5"/>
    <w:rsid w:val="005660DE"/>
    <w:rsid w:val="00570F7F"/>
    <w:rsid w:val="005866D3"/>
    <w:rsid w:val="005955D4"/>
    <w:rsid w:val="005A3611"/>
    <w:rsid w:val="005A5235"/>
    <w:rsid w:val="005B7610"/>
    <w:rsid w:val="005B7C8C"/>
    <w:rsid w:val="005C0D6B"/>
    <w:rsid w:val="005D146E"/>
    <w:rsid w:val="005E1CF9"/>
    <w:rsid w:val="005E20D7"/>
    <w:rsid w:val="005F1CE0"/>
    <w:rsid w:val="006045CF"/>
    <w:rsid w:val="00633E68"/>
    <w:rsid w:val="0063605A"/>
    <w:rsid w:val="00641B11"/>
    <w:rsid w:val="00644349"/>
    <w:rsid w:val="00664E5D"/>
    <w:rsid w:val="0069741B"/>
    <w:rsid w:val="006C056C"/>
    <w:rsid w:val="006C1A7F"/>
    <w:rsid w:val="006D22C1"/>
    <w:rsid w:val="006D3FA2"/>
    <w:rsid w:val="006D5E7C"/>
    <w:rsid w:val="006D63B1"/>
    <w:rsid w:val="006E3C14"/>
    <w:rsid w:val="00705466"/>
    <w:rsid w:val="007107D1"/>
    <w:rsid w:val="00712D8F"/>
    <w:rsid w:val="0071445C"/>
    <w:rsid w:val="00736115"/>
    <w:rsid w:val="00742CAA"/>
    <w:rsid w:val="007477A8"/>
    <w:rsid w:val="007539D3"/>
    <w:rsid w:val="00762262"/>
    <w:rsid w:val="00780B6B"/>
    <w:rsid w:val="007A47F1"/>
    <w:rsid w:val="007B0133"/>
    <w:rsid w:val="007D3165"/>
    <w:rsid w:val="007D4F4E"/>
    <w:rsid w:val="007D509D"/>
    <w:rsid w:val="00801C56"/>
    <w:rsid w:val="00811117"/>
    <w:rsid w:val="008506A1"/>
    <w:rsid w:val="00850854"/>
    <w:rsid w:val="0086258B"/>
    <w:rsid w:val="00881420"/>
    <w:rsid w:val="008941D4"/>
    <w:rsid w:val="008C2765"/>
    <w:rsid w:val="008C4547"/>
    <w:rsid w:val="008F2A3A"/>
    <w:rsid w:val="008F2A9E"/>
    <w:rsid w:val="0090596D"/>
    <w:rsid w:val="009153C0"/>
    <w:rsid w:val="00920FA5"/>
    <w:rsid w:val="00943D14"/>
    <w:rsid w:val="00945A1B"/>
    <w:rsid w:val="0094606A"/>
    <w:rsid w:val="00956A16"/>
    <w:rsid w:val="00962063"/>
    <w:rsid w:val="009655DE"/>
    <w:rsid w:val="0096658F"/>
    <w:rsid w:val="00970659"/>
    <w:rsid w:val="00982BC1"/>
    <w:rsid w:val="00984184"/>
    <w:rsid w:val="009C4658"/>
    <w:rsid w:val="009C6608"/>
    <w:rsid w:val="009F7AE3"/>
    <w:rsid w:val="00A00539"/>
    <w:rsid w:val="00A11E2D"/>
    <w:rsid w:val="00A22B91"/>
    <w:rsid w:val="00A233BC"/>
    <w:rsid w:val="00A23C0A"/>
    <w:rsid w:val="00A30500"/>
    <w:rsid w:val="00A3633B"/>
    <w:rsid w:val="00A51914"/>
    <w:rsid w:val="00A57E87"/>
    <w:rsid w:val="00A641CB"/>
    <w:rsid w:val="00A741E1"/>
    <w:rsid w:val="00A8317A"/>
    <w:rsid w:val="00A8384A"/>
    <w:rsid w:val="00AB11BF"/>
    <w:rsid w:val="00AE1F95"/>
    <w:rsid w:val="00AE6182"/>
    <w:rsid w:val="00AF500D"/>
    <w:rsid w:val="00B031E8"/>
    <w:rsid w:val="00B0567E"/>
    <w:rsid w:val="00B0769F"/>
    <w:rsid w:val="00B1085F"/>
    <w:rsid w:val="00B12AA8"/>
    <w:rsid w:val="00B14C64"/>
    <w:rsid w:val="00B245B1"/>
    <w:rsid w:val="00B36919"/>
    <w:rsid w:val="00B4738E"/>
    <w:rsid w:val="00B646AE"/>
    <w:rsid w:val="00B83484"/>
    <w:rsid w:val="00B929C2"/>
    <w:rsid w:val="00BC3DAE"/>
    <w:rsid w:val="00C146D0"/>
    <w:rsid w:val="00C26238"/>
    <w:rsid w:val="00C369D7"/>
    <w:rsid w:val="00C45485"/>
    <w:rsid w:val="00C46781"/>
    <w:rsid w:val="00C707A1"/>
    <w:rsid w:val="00C753C5"/>
    <w:rsid w:val="00C92F41"/>
    <w:rsid w:val="00CA09FE"/>
    <w:rsid w:val="00CB3B03"/>
    <w:rsid w:val="00CB65BA"/>
    <w:rsid w:val="00CC1FBC"/>
    <w:rsid w:val="00CC425B"/>
    <w:rsid w:val="00CE290E"/>
    <w:rsid w:val="00CE52DC"/>
    <w:rsid w:val="00D22784"/>
    <w:rsid w:val="00D24503"/>
    <w:rsid w:val="00D2758C"/>
    <w:rsid w:val="00D474B9"/>
    <w:rsid w:val="00D77BC9"/>
    <w:rsid w:val="00D82874"/>
    <w:rsid w:val="00D87628"/>
    <w:rsid w:val="00DA1251"/>
    <w:rsid w:val="00DA3951"/>
    <w:rsid w:val="00DB0EA2"/>
    <w:rsid w:val="00DB4E62"/>
    <w:rsid w:val="00DC285C"/>
    <w:rsid w:val="00DC38B8"/>
    <w:rsid w:val="00E31CC0"/>
    <w:rsid w:val="00E34A39"/>
    <w:rsid w:val="00E477C7"/>
    <w:rsid w:val="00E70B4F"/>
    <w:rsid w:val="00E9797A"/>
    <w:rsid w:val="00EC4FEF"/>
    <w:rsid w:val="00F036C7"/>
    <w:rsid w:val="00F05982"/>
    <w:rsid w:val="00F05C48"/>
    <w:rsid w:val="00F15AF7"/>
    <w:rsid w:val="00F23A2D"/>
    <w:rsid w:val="00F3256E"/>
    <w:rsid w:val="00F45D2C"/>
    <w:rsid w:val="00F4647C"/>
    <w:rsid w:val="00F5105E"/>
    <w:rsid w:val="00F531BC"/>
    <w:rsid w:val="00F64765"/>
    <w:rsid w:val="00F666AB"/>
    <w:rsid w:val="00F805DE"/>
    <w:rsid w:val="00F8360A"/>
    <w:rsid w:val="00F901A8"/>
    <w:rsid w:val="00FC20BD"/>
    <w:rsid w:val="00FD12EB"/>
    <w:rsid w:val="00FD6A82"/>
    <w:rsid w:val="00FE2BD3"/>
    <w:rsid w:val="00FF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6B556"/>
  <w15:chartTrackingRefBased/>
  <w15:docId w15:val="{3B5781A3-7AB6-48AE-B7C1-7C057BA8D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7B20"/>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27B20"/>
    <w:pPr>
      <w:spacing w:after="240"/>
      <w:ind w:left="1008"/>
    </w:pPr>
    <w:rPr>
      <w:rFonts w:ascii="Calibri" w:hAnsi="Calibri"/>
    </w:rPr>
  </w:style>
  <w:style w:type="character" w:customStyle="1" w:styleId="BodyTextChar">
    <w:name w:val="Body Text Char"/>
    <w:basedOn w:val="DefaultParagraphFont"/>
    <w:link w:val="BodyText"/>
    <w:rsid w:val="00227B20"/>
    <w:rPr>
      <w:rFonts w:ascii="Calibri" w:eastAsia="Calibri" w:hAnsi="Calibri" w:cs="Times New Roman"/>
      <w:sz w:val="24"/>
      <w:szCs w:val="24"/>
    </w:rPr>
  </w:style>
  <w:style w:type="paragraph" w:styleId="Title">
    <w:name w:val="Title"/>
    <w:basedOn w:val="Normal"/>
    <w:next w:val="BodyText"/>
    <w:link w:val="TitleChar"/>
    <w:qFormat/>
    <w:rsid w:val="00227B20"/>
    <w:pPr>
      <w:spacing w:after="240"/>
    </w:pPr>
    <w:rPr>
      <w:rFonts w:asciiTheme="majorHAnsi" w:hAnsiTheme="majorHAnsi"/>
      <w:b/>
      <w:color w:val="4472C4" w:themeColor="accent1"/>
      <w:sz w:val="28"/>
      <w:szCs w:val="28"/>
    </w:rPr>
  </w:style>
  <w:style w:type="character" w:customStyle="1" w:styleId="TitleChar">
    <w:name w:val="Title Char"/>
    <w:basedOn w:val="DefaultParagraphFont"/>
    <w:link w:val="Title"/>
    <w:rsid w:val="00227B20"/>
    <w:rPr>
      <w:rFonts w:asciiTheme="majorHAnsi" w:eastAsia="Calibri" w:hAnsiTheme="majorHAnsi" w:cs="Times New Roman"/>
      <w:b/>
      <w:color w:val="4472C4" w:themeColor="accent1"/>
      <w:sz w:val="28"/>
      <w:szCs w:val="28"/>
    </w:rPr>
  </w:style>
  <w:style w:type="paragraph" w:styleId="Header">
    <w:name w:val="header"/>
    <w:basedOn w:val="Normal"/>
    <w:link w:val="HeaderChar"/>
    <w:rsid w:val="00227B20"/>
    <w:pPr>
      <w:tabs>
        <w:tab w:val="center" w:pos="4680"/>
        <w:tab w:val="right" w:pos="9360"/>
      </w:tabs>
    </w:pPr>
  </w:style>
  <w:style w:type="character" w:customStyle="1" w:styleId="HeaderChar">
    <w:name w:val="Header Char"/>
    <w:basedOn w:val="DefaultParagraphFont"/>
    <w:link w:val="Header"/>
    <w:rsid w:val="00227B20"/>
    <w:rPr>
      <w:rFonts w:ascii="Times New Roman" w:eastAsia="Calibri" w:hAnsi="Times New Roman" w:cs="Times New Roman"/>
      <w:sz w:val="24"/>
      <w:szCs w:val="24"/>
    </w:rPr>
  </w:style>
  <w:style w:type="paragraph" w:styleId="Footer">
    <w:name w:val="footer"/>
    <w:basedOn w:val="Normal"/>
    <w:link w:val="FooterChar"/>
    <w:rsid w:val="00227B20"/>
    <w:pPr>
      <w:tabs>
        <w:tab w:val="center" w:pos="4680"/>
        <w:tab w:val="right" w:pos="9360"/>
      </w:tabs>
    </w:pPr>
  </w:style>
  <w:style w:type="character" w:customStyle="1" w:styleId="FooterChar">
    <w:name w:val="Footer Char"/>
    <w:basedOn w:val="DefaultParagraphFont"/>
    <w:link w:val="Footer"/>
    <w:rsid w:val="00227B20"/>
    <w:rPr>
      <w:rFonts w:ascii="Times New Roman" w:eastAsia="Calibri" w:hAnsi="Times New Roman" w:cs="Times New Roman"/>
      <w:sz w:val="24"/>
      <w:szCs w:val="24"/>
    </w:rPr>
  </w:style>
  <w:style w:type="character" w:styleId="Emphasis">
    <w:name w:val="Emphasis"/>
    <w:qFormat/>
    <w:rsid w:val="00227B20"/>
    <w:rPr>
      <w:b/>
      <w:i/>
    </w:rPr>
  </w:style>
  <w:style w:type="character" w:styleId="Strong">
    <w:name w:val="Strong"/>
    <w:qFormat/>
    <w:rsid w:val="00227B20"/>
    <w:rPr>
      <w:b/>
      <w:bCs/>
    </w:rPr>
  </w:style>
  <w:style w:type="paragraph" w:customStyle="1" w:styleId="TITLECAPS">
    <w:name w:val="TITLE CAPS"/>
    <w:basedOn w:val="Normal"/>
    <w:next w:val="BodyText"/>
    <w:link w:val="TITLECAPSChar"/>
    <w:rsid w:val="00227B20"/>
    <w:pPr>
      <w:spacing w:after="240"/>
    </w:pPr>
    <w:rPr>
      <w:rFonts w:asciiTheme="majorHAnsi" w:hAnsiTheme="majorHAnsi"/>
      <w:b/>
      <w:color w:val="44546A" w:themeColor="text2"/>
      <w:sz w:val="32"/>
      <w:szCs w:val="32"/>
    </w:rPr>
  </w:style>
  <w:style w:type="paragraph" w:customStyle="1" w:styleId="OutlineL1">
    <w:name w:val="Outline_L1"/>
    <w:basedOn w:val="Normal"/>
    <w:next w:val="BodyText"/>
    <w:link w:val="OutlineL1Char"/>
    <w:rsid w:val="00227B20"/>
    <w:pPr>
      <w:numPr>
        <w:numId w:val="1"/>
      </w:numPr>
      <w:spacing w:after="240"/>
      <w:outlineLvl w:val="0"/>
    </w:pPr>
    <w:rPr>
      <w:rFonts w:ascii="Calibri" w:eastAsia="Times New Roman" w:hAnsi="Calibri"/>
      <w:color w:val="4472C4" w:themeColor="accent1"/>
      <w:sz w:val="28"/>
      <w:szCs w:val="20"/>
    </w:rPr>
  </w:style>
  <w:style w:type="character" w:customStyle="1" w:styleId="OutlineL1Char">
    <w:name w:val="Outline_L1 Char"/>
    <w:basedOn w:val="TitleChar"/>
    <w:link w:val="OutlineL1"/>
    <w:rsid w:val="00227B20"/>
    <w:rPr>
      <w:rFonts w:ascii="Calibri" w:eastAsia="Times New Roman" w:hAnsi="Calibri" w:cs="Times New Roman"/>
      <w:b w:val="0"/>
      <w:color w:val="4472C4" w:themeColor="accent1"/>
      <w:sz w:val="28"/>
      <w:szCs w:val="20"/>
    </w:rPr>
  </w:style>
  <w:style w:type="paragraph" w:customStyle="1" w:styleId="OutlineL2">
    <w:name w:val="Outline_L2"/>
    <w:basedOn w:val="OutlineL1"/>
    <w:next w:val="BodyText"/>
    <w:link w:val="OutlineL2Char"/>
    <w:rsid w:val="00227B20"/>
    <w:pPr>
      <w:numPr>
        <w:ilvl w:val="1"/>
      </w:numPr>
      <w:spacing w:after="0"/>
      <w:outlineLvl w:val="1"/>
    </w:pPr>
  </w:style>
  <w:style w:type="character" w:customStyle="1" w:styleId="OutlineL2Char">
    <w:name w:val="Outline_L2 Char"/>
    <w:basedOn w:val="TitleChar"/>
    <w:link w:val="OutlineL2"/>
    <w:rsid w:val="00227B20"/>
    <w:rPr>
      <w:rFonts w:ascii="Calibri" w:eastAsia="Times New Roman" w:hAnsi="Calibri" w:cs="Times New Roman"/>
      <w:b w:val="0"/>
      <w:color w:val="4472C4" w:themeColor="accent1"/>
      <w:sz w:val="28"/>
      <w:szCs w:val="20"/>
    </w:rPr>
  </w:style>
  <w:style w:type="paragraph" w:customStyle="1" w:styleId="OutlineL3">
    <w:name w:val="Outline_L3"/>
    <w:basedOn w:val="OutlineL2"/>
    <w:next w:val="BodyText"/>
    <w:rsid w:val="00227B20"/>
    <w:pPr>
      <w:numPr>
        <w:ilvl w:val="2"/>
      </w:numPr>
      <w:tabs>
        <w:tab w:val="clear" w:pos="2160"/>
        <w:tab w:val="num" w:pos="360"/>
      </w:tabs>
      <w:spacing w:after="240"/>
      <w:outlineLvl w:val="2"/>
    </w:pPr>
    <w:rPr>
      <w:rFonts w:ascii="Times New Roman" w:hAnsi="Times New Roman"/>
      <w:sz w:val="24"/>
    </w:rPr>
  </w:style>
  <w:style w:type="paragraph" w:customStyle="1" w:styleId="OutlineL4">
    <w:name w:val="Outline_L4"/>
    <w:basedOn w:val="OutlineL3"/>
    <w:next w:val="BodyText"/>
    <w:rsid w:val="00227B20"/>
    <w:pPr>
      <w:numPr>
        <w:ilvl w:val="3"/>
      </w:numPr>
      <w:tabs>
        <w:tab w:val="clear" w:pos="2880"/>
        <w:tab w:val="num" w:pos="360"/>
      </w:tabs>
      <w:outlineLvl w:val="3"/>
    </w:pPr>
  </w:style>
  <w:style w:type="paragraph" w:customStyle="1" w:styleId="OutlineL5">
    <w:name w:val="Outline_L5"/>
    <w:basedOn w:val="OutlineL4"/>
    <w:next w:val="BodyText"/>
    <w:rsid w:val="00227B20"/>
    <w:pPr>
      <w:numPr>
        <w:ilvl w:val="4"/>
      </w:numPr>
      <w:tabs>
        <w:tab w:val="clear" w:pos="3600"/>
        <w:tab w:val="num" w:pos="360"/>
      </w:tabs>
      <w:outlineLvl w:val="4"/>
    </w:pPr>
  </w:style>
  <w:style w:type="paragraph" w:customStyle="1" w:styleId="OutlineL6">
    <w:name w:val="Outline_L6"/>
    <w:basedOn w:val="OutlineL5"/>
    <w:next w:val="BodyText"/>
    <w:rsid w:val="00227B20"/>
    <w:pPr>
      <w:numPr>
        <w:ilvl w:val="5"/>
      </w:numPr>
      <w:tabs>
        <w:tab w:val="clear" w:pos="4320"/>
        <w:tab w:val="num" w:pos="360"/>
      </w:tabs>
      <w:outlineLvl w:val="5"/>
    </w:pPr>
  </w:style>
  <w:style w:type="paragraph" w:customStyle="1" w:styleId="OutlineL7">
    <w:name w:val="Outline_L7"/>
    <w:basedOn w:val="OutlineL6"/>
    <w:next w:val="BodyText"/>
    <w:rsid w:val="00227B20"/>
    <w:pPr>
      <w:numPr>
        <w:ilvl w:val="6"/>
      </w:numPr>
      <w:tabs>
        <w:tab w:val="clear" w:pos="5040"/>
        <w:tab w:val="num" w:pos="360"/>
      </w:tabs>
      <w:outlineLvl w:val="6"/>
    </w:pPr>
  </w:style>
  <w:style w:type="paragraph" w:customStyle="1" w:styleId="OutlineL8">
    <w:name w:val="Outline_L8"/>
    <w:basedOn w:val="OutlineL7"/>
    <w:next w:val="BodyText"/>
    <w:rsid w:val="00227B20"/>
    <w:pPr>
      <w:numPr>
        <w:ilvl w:val="7"/>
      </w:numPr>
      <w:tabs>
        <w:tab w:val="clear" w:pos="5760"/>
        <w:tab w:val="num" w:pos="360"/>
      </w:tabs>
      <w:outlineLvl w:val="7"/>
    </w:pPr>
  </w:style>
  <w:style w:type="paragraph" w:customStyle="1" w:styleId="OutlineL9">
    <w:name w:val="Outline_L9"/>
    <w:basedOn w:val="OutlineL8"/>
    <w:next w:val="BodyText"/>
    <w:rsid w:val="00227B20"/>
    <w:pPr>
      <w:numPr>
        <w:ilvl w:val="8"/>
      </w:numPr>
      <w:tabs>
        <w:tab w:val="clear" w:pos="6480"/>
        <w:tab w:val="num" w:pos="360"/>
      </w:tabs>
      <w:outlineLvl w:val="8"/>
    </w:pPr>
  </w:style>
  <w:style w:type="table" w:styleId="TableGrid">
    <w:name w:val="Table Grid"/>
    <w:basedOn w:val="TableNormal"/>
    <w:rsid w:val="00227B20"/>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zmpTrailerItem">
    <w:name w:val="zzmpTrailerItem"/>
    <w:rsid w:val="00227B20"/>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Title1">
    <w:name w:val="Title1"/>
    <w:basedOn w:val="Normal"/>
    <w:rsid w:val="00227B20"/>
    <w:pPr>
      <w:keepNext/>
      <w:keepLines/>
      <w:spacing w:before="240" w:line="240" w:lineRule="atLeast"/>
      <w:ind w:left="720" w:right="720"/>
      <w:jc w:val="center"/>
    </w:pPr>
    <w:rPr>
      <w:rFonts w:eastAsia="Times New Roman"/>
      <w:b/>
      <w:sz w:val="26"/>
      <w:szCs w:val="20"/>
      <w:lang w:eastAsia="zh-CN"/>
    </w:rPr>
  </w:style>
  <w:style w:type="character" w:customStyle="1" w:styleId="TITLECAPSChar">
    <w:name w:val="TITLE CAPS Char"/>
    <w:basedOn w:val="DefaultParagraphFont"/>
    <w:link w:val="TITLECAPS"/>
    <w:rsid w:val="00227B20"/>
    <w:rPr>
      <w:rFonts w:asciiTheme="majorHAnsi" w:eastAsia="Calibri" w:hAnsiTheme="majorHAnsi" w:cs="Times New Roman"/>
      <w:b/>
      <w:color w:val="44546A" w:themeColor="text2"/>
      <w:sz w:val="32"/>
      <w:szCs w:val="32"/>
    </w:rPr>
  </w:style>
  <w:style w:type="paragraph" w:styleId="Revision">
    <w:name w:val="Revision"/>
    <w:hidden/>
    <w:uiPriority w:val="99"/>
    <w:semiHidden/>
    <w:rsid w:val="004E6B5D"/>
    <w:pPr>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490983"/>
    <w:rPr>
      <w:sz w:val="16"/>
      <w:szCs w:val="16"/>
    </w:rPr>
  </w:style>
  <w:style w:type="paragraph" w:styleId="CommentText">
    <w:name w:val="annotation text"/>
    <w:basedOn w:val="Normal"/>
    <w:link w:val="CommentTextChar"/>
    <w:uiPriority w:val="99"/>
    <w:unhideWhenUsed/>
    <w:rsid w:val="00490983"/>
    <w:rPr>
      <w:sz w:val="20"/>
      <w:szCs w:val="20"/>
    </w:rPr>
  </w:style>
  <w:style w:type="character" w:customStyle="1" w:styleId="CommentTextChar">
    <w:name w:val="Comment Text Char"/>
    <w:basedOn w:val="DefaultParagraphFont"/>
    <w:link w:val="CommentText"/>
    <w:uiPriority w:val="99"/>
    <w:rsid w:val="0049098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90983"/>
    <w:rPr>
      <w:b/>
      <w:bCs/>
    </w:rPr>
  </w:style>
  <w:style w:type="character" w:customStyle="1" w:styleId="CommentSubjectChar">
    <w:name w:val="Comment Subject Char"/>
    <w:basedOn w:val="CommentTextChar"/>
    <w:link w:val="CommentSubject"/>
    <w:uiPriority w:val="99"/>
    <w:semiHidden/>
    <w:rsid w:val="00490983"/>
    <w:rPr>
      <w:rFonts w:ascii="Times New Roman" w:eastAsia="Calibri" w:hAnsi="Times New Roman" w:cs="Times New Roman"/>
      <w:b/>
      <w:bCs/>
      <w:sz w:val="20"/>
      <w:szCs w:val="20"/>
    </w:rPr>
  </w:style>
  <w:style w:type="character" w:styleId="Hyperlink">
    <w:name w:val="Hyperlink"/>
    <w:uiPriority w:val="99"/>
    <w:rsid w:val="00920FA5"/>
    <w:rPr>
      <w:color w:val="0000FF"/>
      <w:u w:val="single"/>
    </w:rPr>
  </w:style>
  <w:style w:type="paragraph" w:styleId="ListParagraph">
    <w:name w:val="List Paragraph"/>
    <w:basedOn w:val="Normal"/>
    <w:uiPriority w:val="34"/>
    <w:qFormat/>
    <w:rsid w:val="004C5EC6"/>
    <w:pPr>
      <w:ind w:left="720"/>
      <w:contextualSpacing/>
    </w:pPr>
  </w:style>
  <w:style w:type="character" w:styleId="UnresolvedMention">
    <w:name w:val="Unresolved Mention"/>
    <w:basedOn w:val="DefaultParagraphFont"/>
    <w:uiPriority w:val="99"/>
    <w:semiHidden/>
    <w:unhideWhenUsed/>
    <w:rsid w:val="001A347D"/>
    <w:rPr>
      <w:color w:val="605E5C"/>
      <w:shd w:val="clear" w:color="auto" w:fill="E1DFDD"/>
    </w:rPr>
  </w:style>
  <w:style w:type="character" w:styleId="FollowedHyperlink">
    <w:name w:val="FollowedHyperlink"/>
    <w:basedOn w:val="DefaultParagraphFont"/>
    <w:uiPriority w:val="99"/>
    <w:semiHidden/>
    <w:unhideWhenUsed/>
    <w:rsid w:val="00D77B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luke.it/freegift" TargetMode="External"/><Relationship Id="rId18" Type="http://schemas.openxmlformats.org/officeDocument/2006/relationships/hyperlink" Target="http://www.flukenetworks.co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fluke.it/freegift" TargetMode="External"/><Relationship Id="rId7" Type="http://schemas.openxmlformats.org/officeDocument/2006/relationships/styles" Target="styles.xml"/><Relationship Id="rId12" Type="http://schemas.openxmlformats.org/officeDocument/2006/relationships/hyperlink" Target="http://www.fluke.it/freegift" TargetMode="External"/><Relationship Id="rId17" Type="http://schemas.openxmlformats.org/officeDocument/2006/relationships/hyperlink" Target="https://eu.flukecal.com/product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luke.com/en-gb-produc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privacypolicy@fluke.com" TargetMode="External"/><Relationship Id="rId5" Type="http://schemas.openxmlformats.org/officeDocument/2006/relationships/customXml" Target="../customXml/item5.xml"/><Relationship Id="rId15" Type="http://schemas.openxmlformats.org/officeDocument/2006/relationships/hyperlink" Target="https://www.fluke.com/it-it/dove-acquistare" TargetMode="External"/><Relationship Id="rId23" Type="http://schemas.openxmlformats.org/officeDocument/2006/relationships/hyperlink" Target="http://en-us.fluke.com/site/privacy"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beha-amprobe.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luke.com/it-it/dove-acquistare" TargetMode="External"/><Relationship Id="rId22" Type="http://schemas.openxmlformats.org/officeDocument/2006/relationships/hyperlink" Target="mailto:ehv-marcom@fluke.nl"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DEEF58C80F4AA4C9CFDB834DE8766B1" ma:contentTypeVersion="21" ma:contentTypeDescription="Create a new document." ma:contentTypeScope="" ma:versionID="e291f1855a0e4749cf1294e23d3dc18b">
  <xsd:schema xmlns:xsd="http://www.w3.org/2001/XMLSchema" xmlns:xs="http://www.w3.org/2001/XMLSchema" xmlns:p="http://schemas.microsoft.com/office/2006/metadata/properties" xmlns:ns2="14d49a67-3062-40a2-b4f9-dcb9989b710a" xmlns:ns3="5a40a5c4-5adb-427e-a152-612fa354249f" targetNamespace="http://schemas.microsoft.com/office/2006/metadata/properties" ma:root="true" ma:fieldsID="dfda7528b0aaee747e34e3a49db50443" ns2:_="" ns3:_="">
    <xsd:import namespace="14d49a67-3062-40a2-b4f9-dcb9989b710a"/>
    <xsd:import namespace="5a40a5c4-5adb-427e-a152-612fa35424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49a67-3062-40a2-b4f9-dcb9989b7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a1511d-2345-4ee6-88e1-d3859e8dbcb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40a5c4-5adb-427e-a152-612fa354249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23193be-dbd9-4391-83b5-7b2579909d46}" ma:internalName="TaxCatchAll" ma:showField="CatchAllData" ma:web="5a40a5c4-5adb-427e-a152-612fa35424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14d49a67-3062-40a2-b4f9-dcb9989b710a">
      <Terms xmlns="http://schemas.microsoft.com/office/infopath/2007/PartnerControls"/>
    </lcf76f155ced4ddcb4097134ff3c332f>
    <TaxCatchAll xmlns="5a40a5c4-5adb-427e-a152-612fa354249f" xsi:nil="true"/>
  </documentManagement>
</p:properties>
</file>

<file path=customXml/itemProps1.xml><?xml version="1.0" encoding="utf-8"?>
<ds:datastoreItem xmlns:ds="http://schemas.openxmlformats.org/officeDocument/2006/customXml" ds:itemID="{840F6D5F-D3F4-48EA-A636-21DC3578B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CE3782-388A-4EC9-B780-CDD3ECE36030}">
  <ds:schemaRefs>
    <ds:schemaRef ds:uri="http://schemas.openxmlformats.org/officeDocument/2006/bibliography"/>
  </ds:schemaRefs>
</ds:datastoreItem>
</file>

<file path=customXml/itemProps3.xml><?xml version="1.0" encoding="utf-8"?>
<ds:datastoreItem xmlns:ds="http://schemas.openxmlformats.org/officeDocument/2006/customXml" ds:itemID="{2C197B05-309B-4A1E-AF97-E9A4761FA7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49a67-3062-40a2-b4f9-dcb9989b710a"/>
    <ds:schemaRef ds:uri="5a40a5c4-5adb-427e-a152-612fa35424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9DE425-93AF-4831-82EC-356025C1855C}">
  <ds:schemaRefs>
    <ds:schemaRef ds:uri="http://schemas.microsoft.com/sharepoint/v3/contenttype/forms"/>
  </ds:schemaRefs>
</ds:datastoreItem>
</file>

<file path=customXml/itemProps5.xml><?xml version="1.0" encoding="utf-8"?>
<ds:datastoreItem xmlns:ds="http://schemas.openxmlformats.org/officeDocument/2006/customXml" ds:itemID="{7508D763-50C3-4F15-99C4-1C9131F02866}">
  <ds:schemaRefs>
    <ds:schemaRef ds:uri="http://schemas.microsoft.com/office/2006/metadata/properties"/>
    <ds:schemaRef ds:uri="http://schemas.microsoft.com/office/infopath/2007/PartnerControls"/>
    <ds:schemaRef ds:uri="14d49a67-3062-40a2-b4f9-dcb9989b710a"/>
    <ds:schemaRef ds:uri="5a40a5c4-5adb-427e-a152-612fa354249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2398</Words>
  <Characters>13669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Damle, Shreya C</dc:creator>
  <cp:lastModifiedBy>Gastel van, Ernie</cp:lastModifiedBy>
  <cp:revision>3</cp:revision>
  <dcterms:created xsi:type="dcterms:W3CDTF">2025-01-23T13:41:00Z</dcterms:created>
  <dcterms:modified xsi:type="dcterms:W3CDTF">2025-01-29T14:09:00Z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0x0101008DEEF58C80F4AA4C9CFDB834DE8766B1</vt:lpwstr>
  </property>
  <property fmtid="{D5CDD505-2E9C-101B-9397-08002B2CF9AE}" pid="3" name="MediaServiceImageTags">
    <vt:lpwstr/>
  </property>
</Properties>
</file>